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宋体" w:eastAsia="宋体" w:cs="Times New Roman"/>
          <w:b/>
          <w:color w:val="FF0000"/>
          <w:szCs w:val="21"/>
        </w:rPr>
      </w:pPr>
      <w:r>
        <w:rPr>
          <w:rFonts w:hint="eastAsia" w:ascii="Times New Roman" w:hAnsi="宋体" w:eastAsia="宋体" w:cs="Times New Roman"/>
          <w:b/>
          <w:color w:val="FF0000"/>
          <w:szCs w:val="21"/>
        </w:rPr>
        <w:t>高阶段采场充填体强度影响因素敏感性分析</w:t>
      </w:r>
    </w:p>
    <w:p>
      <w:pPr>
        <w:jc w:val="center"/>
        <w:rPr>
          <w:rFonts w:ascii="Times New Roman" w:hAnsi="Times New Roman" w:eastAsia="宋体" w:cs="Times New Roman"/>
          <w:szCs w:val="21"/>
        </w:rPr>
      </w:pPr>
      <w:r>
        <w:rPr>
          <w:rFonts w:hint="eastAsia" w:ascii="Times New Roman" w:hAnsi="Times New Roman" w:eastAsia="宋体" w:cs="Times New Roman"/>
          <w:szCs w:val="21"/>
        </w:rPr>
        <w:t>魏福海</w:t>
      </w:r>
      <w:r>
        <w:rPr>
          <w:rFonts w:hint="eastAsia" w:ascii="Times New Roman" w:hAnsi="Times New Roman" w:eastAsia="宋体" w:cs="Times New Roman"/>
          <w:szCs w:val="21"/>
          <w:vertAlign w:val="superscript"/>
        </w:rPr>
        <w:t>1</w:t>
      </w:r>
      <w:r>
        <w:rPr>
          <w:rFonts w:hint="eastAsia" w:ascii="Times New Roman" w:hAnsi="Times New Roman" w:eastAsia="宋体" w:cs="Times New Roman"/>
          <w:szCs w:val="21"/>
        </w:rPr>
        <w:t>，王忠强</w:t>
      </w:r>
      <w:r>
        <w:rPr>
          <w:rFonts w:hint="eastAsia" w:ascii="Times New Roman" w:hAnsi="Times New Roman" w:eastAsia="宋体" w:cs="Times New Roman"/>
          <w:szCs w:val="21"/>
          <w:vertAlign w:val="superscript"/>
        </w:rPr>
        <w:t>2</w:t>
      </w:r>
    </w:p>
    <w:p>
      <w:pPr>
        <w:jc w:val="center"/>
        <w:rPr>
          <w:sz w:val="28"/>
          <w:szCs w:val="28"/>
        </w:rPr>
      </w:pPr>
      <w:r>
        <w:rPr>
          <w:rFonts w:hint="eastAsia" w:ascii="楷体_GB2312" w:eastAsia="楷体_GB2312"/>
          <w:szCs w:val="21"/>
        </w:rPr>
        <w:t>(</w:t>
      </w:r>
      <w:r>
        <w:rPr>
          <w:rFonts w:hint="eastAsia" w:ascii="Times New Roman" w:hAnsi="Times New Roman" w:eastAsia="宋体" w:cs="Times New Roman"/>
          <w:color w:val="FF0000"/>
          <w:szCs w:val="21"/>
        </w:rPr>
        <w:t>安徽马钢罗河矿业有限责任公司，安徽 合肥 231500</w:t>
      </w:r>
      <w:r>
        <w:rPr>
          <w:rFonts w:hint="eastAsia" w:ascii="楷体_GB2312" w:eastAsia="楷体_GB2312"/>
          <w:szCs w:val="21"/>
        </w:rPr>
        <w:t>)</w:t>
      </w:r>
    </w:p>
    <w:p>
      <w:pPr>
        <w:spacing w:line="360" w:lineRule="auto"/>
        <w:rPr>
          <w:rFonts w:ascii="Times New Roman" w:hAnsi="Times New Roman" w:eastAsia="宋体" w:cs="Times New Roman"/>
          <w:szCs w:val="21"/>
        </w:rPr>
      </w:pPr>
      <w:r>
        <w:rPr>
          <w:rFonts w:hint="eastAsia" w:ascii="Times New Roman" w:hAnsi="Times New Roman" w:eastAsia="宋体" w:cs="Times New Roman"/>
          <w:b/>
          <w:szCs w:val="21"/>
        </w:rPr>
        <w:t>摘 要：</w:t>
      </w:r>
      <w:r>
        <w:rPr>
          <w:rFonts w:hint="eastAsia" w:ascii="Times New Roman" w:hAnsi="Times New Roman" w:eastAsia="宋体" w:cs="Times New Roman"/>
          <w:szCs w:val="21"/>
        </w:rPr>
        <w:t>高阶段矿房回采过程中，如何既能减少胶结剂用量又能保证高阶段充填体的稳定性，是采用阶段空场嗣后充填法开采的矿山面临的难题之一。为合理划分采场结构，降低充填成本，针对罗河铁矿高阶段采场充填体稳定性开展研究，研究了各因素交互作用下对充填体强度影响的敏感程度，提出采场宽度、高度、长度与充填体强度之间的合理匹配值。利用BOX-BEHNKEN设计法开展试验，根据设计原理进行4因素4水平设计，计算各种参数情况下，矿山安全生产所需要的胶结充填的抗压强度，再采用Design-expert软件拟合充填体强度需求影响因素与响应量，对响应面回归模型进行方差分析，确定各因素的敏感程度。研究结果表征了充填体强度需求影响因素敏感度顺序为：采场宽度&gt;采场长度&gt;采场高度&gt;内摩擦角，提出了各工艺技术条件下充填体强度需求，对矿山实际生产具有一定指导意义。</w:t>
      </w:r>
    </w:p>
    <w:p>
      <w:pPr>
        <w:spacing w:line="360" w:lineRule="auto"/>
        <w:rPr>
          <w:rFonts w:ascii="Times New Roman" w:hAnsi="Times New Roman" w:eastAsia="宋体" w:cs="Times New Roman"/>
          <w:szCs w:val="21"/>
        </w:rPr>
      </w:pPr>
      <w:r>
        <w:rPr>
          <w:rFonts w:hint="eastAsia" w:ascii="Times New Roman" w:hAnsi="Times New Roman" w:eastAsia="宋体" w:cs="Times New Roman"/>
          <w:b/>
          <w:szCs w:val="21"/>
        </w:rPr>
        <w:t>关键词：</w:t>
      </w:r>
      <w:r>
        <w:rPr>
          <w:rFonts w:hint="eastAsia" w:ascii="Times New Roman" w:hAnsi="Times New Roman" w:eastAsia="宋体" w:cs="Times New Roman"/>
          <w:szCs w:val="21"/>
        </w:rPr>
        <w:t>充填体；稳定性；敏感性分析；强度需求</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Sensitivity analysis of factors influencing the strength of filling body in high stage stope</w:t>
      </w:r>
    </w:p>
    <w:p>
      <w:pPr>
        <w:spacing w:line="360" w:lineRule="auto"/>
        <w:jc w:val="center"/>
        <w:rPr>
          <w:rFonts w:ascii="Times New Roman" w:hAnsi="Times New Roman" w:eastAsia="宋体" w:cs="Times New Roman"/>
          <w:szCs w:val="24"/>
        </w:rPr>
      </w:pPr>
      <w:r>
        <w:rPr>
          <w:rFonts w:hint="eastAsia" w:ascii="Times New Roman" w:hAnsi="Times New Roman" w:eastAsia="宋体" w:cs="Times New Roman"/>
          <w:szCs w:val="24"/>
        </w:rPr>
        <w:t>WEI Fuhai</w:t>
      </w:r>
      <w:r>
        <w:rPr>
          <w:rFonts w:ascii="Times New Roman" w:hAnsi="Times New Roman" w:eastAsia="宋体" w:cs="Times New Roman"/>
          <w:szCs w:val="24"/>
          <w:vertAlign w:val="superscript"/>
        </w:rPr>
        <w:t>1</w:t>
      </w:r>
      <w:r>
        <w:rPr>
          <w:rFonts w:hint="eastAsia" w:ascii="Times New Roman" w:hAnsi="Times New Roman" w:eastAsia="宋体" w:cs="Times New Roman"/>
          <w:szCs w:val="24"/>
        </w:rPr>
        <w:t>,WANG Zhongqiang</w:t>
      </w:r>
      <w:r>
        <w:rPr>
          <w:rFonts w:hint="eastAsia" w:ascii="Times New Roman" w:hAnsi="Times New Roman" w:eastAsia="宋体" w:cs="Times New Roman"/>
          <w:szCs w:val="24"/>
          <w:vertAlign w:val="superscript"/>
        </w:rPr>
        <w:t>2</w:t>
      </w:r>
      <w:r>
        <w:rPr>
          <w:rFonts w:hint="eastAsia" w:ascii="Times New Roman" w:hAnsi="Times New Roman" w:eastAsia="宋体" w:cs="Times New Roman"/>
          <w:szCs w:val="24"/>
        </w:rPr>
        <w:t xml:space="preserve">  </w:t>
      </w:r>
    </w:p>
    <w:p>
      <w:pPr>
        <w:spacing w:line="360" w:lineRule="auto"/>
        <w:jc w:val="center"/>
        <w:rPr>
          <w:rFonts w:ascii="Times New Roman" w:hAnsi="Times New Roman" w:eastAsia="宋体" w:cs="Times New Roman"/>
          <w:sz w:val="18"/>
          <w:szCs w:val="18"/>
        </w:rPr>
      </w:pPr>
      <w:r>
        <w:rPr>
          <w:rFonts w:hint="eastAsia" w:ascii="Times New Roman" w:hAnsi="Times New Roman" w:eastAsia="宋体" w:cs="Times New Roman"/>
          <w:szCs w:val="21"/>
        </w:rPr>
        <w:t xml:space="preserve">（Masteel </w:t>
      </w:r>
      <w:r>
        <w:rPr>
          <w:rFonts w:ascii="Times New Roman" w:hAnsi="Times New Roman" w:eastAsia="宋体" w:cs="Times New Roman"/>
          <w:szCs w:val="21"/>
        </w:rPr>
        <w:t>Luohe Mining Co., Ltd., Hefei</w:t>
      </w:r>
      <w:r>
        <w:rPr>
          <w:rFonts w:hint="eastAsia" w:ascii="Times New Roman" w:hAnsi="Times New Roman" w:eastAsia="宋体" w:cs="Times New Roman"/>
          <w:szCs w:val="21"/>
        </w:rPr>
        <w:t xml:space="preserve"> </w:t>
      </w:r>
      <w:r>
        <w:rPr>
          <w:rFonts w:ascii="Times New Roman" w:hAnsi="Times New Roman" w:eastAsia="宋体" w:cs="Times New Roman"/>
          <w:szCs w:val="21"/>
        </w:rPr>
        <w:t>Anhui 231500,</w:t>
      </w:r>
      <w:r>
        <w:rPr>
          <w:rFonts w:hint="eastAsia" w:ascii="Times New Roman" w:hAnsi="Times New Roman" w:eastAsia="宋体" w:cs="Times New Roman"/>
          <w:szCs w:val="21"/>
        </w:rPr>
        <w:t xml:space="preserve"> China</w:t>
      </w:r>
      <w:r>
        <w:rPr>
          <w:rFonts w:ascii="Times New Roman" w:hAnsi="Times New Roman" w:eastAsia="宋体" w:cs="Times New Roman"/>
          <w:szCs w:val="21"/>
        </w:rPr>
        <w:t>;</w:t>
      </w:r>
      <w:r>
        <w:rPr>
          <w:rFonts w:hint="eastAsia"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b/>
          <w:szCs w:val="21"/>
        </w:rPr>
        <w:t>Abstract</w:t>
      </w:r>
      <w:r>
        <w:rPr>
          <w:rFonts w:hint="eastAsia" w:ascii="Times New Roman" w:hAnsi="Times New Roman" w:eastAsia="宋体" w:cs="Times New Roman"/>
          <w:b/>
          <w:szCs w:val="21"/>
        </w:rPr>
        <w:t>:</w:t>
      </w:r>
      <w:r>
        <w:rPr>
          <w:rFonts w:hint="eastAsia" w:ascii="Times New Roman" w:hAnsi="Times New Roman" w:eastAsia="宋体" w:cs="Times New Roman"/>
          <w:sz w:val="18"/>
          <w:szCs w:val="18"/>
        </w:rPr>
        <w:t xml:space="preserve"> </w:t>
      </w:r>
      <w:r>
        <w:rPr>
          <w:rFonts w:ascii="Times New Roman" w:hAnsi="Times New Roman" w:eastAsia="宋体" w:cs="Times New Roman"/>
          <w:szCs w:val="21"/>
        </w:rPr>
        <w:t>In the process of high-stage room mining, how to reduce the amount of cement and ensure the stability of high-stage filling body is one of the problems faced by many mines that adopt the method of open stope and subsequent filling. In order to reasonably divide the stope structure and reduce the filling cost, this paper studies the stability of the filling body in the high stage stope of Luohe iron mine, studies the sensitivity of the interaction of various factors on the strength of the filling body, and puts forward the reasonable matching value between the stope width, height, length and the strength of the filling body. The Box-Behnken design method is used to carry out the experiment. According to the design principle, the four factors and four levels design are carried out. The compressive strength of cemented filling required by the safe production of the mine is calculated under various parameters. Then, the design expert software is used to fit the influencing factors and response quantity of the strength demand of the filling body. The variance analysis is carried out on the response surface regression model to determine the sensitivity of each factor. The results show that the sensitivity order of factors affecting the strength demand of filling body is: stope width &gt; stope length &gt; stope height &gt; internal friction angle. The strength demand of filling body under various technological conditions is put forward, which has certain guiding significance for the actual production of mines.</w:t>
      </w:r>
    </w:p>
    <w:p>
      <w:pPr>
        <w:spacing w:line="360" w:lineRule="auto"/>
        <w:rPr>
          <w:rFonts w:ascii="Arial" w:hAnsi="Arial" w:eastAsia="宋体" w:cs="Arial"/>
          <w:color w:val="222222"/>
          <w:szCs w:val="21"/>
          <w:lang w:val="en"/>
        </w:rPr>
      </w:pPr>
      <w:r>
        <w:rPr>
          <w:rFonts w:ascii="Times New Roman" w:hAnsi="Times New Roman" w:eastAsia="宋体" w:cs="Times New Roman"/>
          <w:b/>
          <w:szCs w:val="21"/>
        </w:rPr>
        <w:t>Keywords</w:t>
      </w:r>
      <w:r>
        <w:rPr>
          <w:rFonts w:hint="eastAsia" w:ascii="Times New Roman" w:hAnsi="Times New Roman" w:eastAsia="宋体" w:cs="Times New Roman"/>
          <w:szCs w:val="21"/>
        </w:rPr>
        <w:t>:</w:t>
      </w:r>
      <w:r>
        <w:rPr>
          <w:rFonts w:ascii="Times New Roman" w:hAnsi="Times New Roman" w:eastAsia="宋体" w:cs="Times New Roman"/>
          <w:szCs w:val="21"/>
        </w:rPr>
        <w:t>Backfill</w:t>
      </w:r>
      <w:r>
        <w:rPr>
          <w:rFonts w:hint="eastAsia" w:ascii="Times New Roman" w:hAnsi="Times New Roman" w:eastAsia="宋体" w:cs="Times New Roman"/>
          <w:szCs w:val="21"/>
        </w:rPr>
        <w:t>;</w:t>
      </w:r>
      <w:r>
        <w:rPr>
          <w:rFonts w:ascii="Times New Roman" w:hAnsi="Times New Roman" w:eastAsia="宋体" w:cs="Times New Roman"/>
          <w:szCs w:val="21"/>
        </w:rPr>
        <w:t>stability</w:t>
      </w:r>
      <w:r>
        <w:rPr>
          <w:rFonts w:hint="eastAsia" w:ascii="Times New Roman" w:hAnsi="Times New Roman" w:eastAsia="宋体" w:cs="Times New Roman"/>
          <w:szCs w:val="21"/>
        </w:rPr>
        <w:t>;</w:t>
      </w:r>
      <w:r>
        <w:rPr>
          <w:rFonts w:ascii="Times New Roman" w:hAnsi="Times New Roman" w:eastAsia="宋体" w:cs="Times New Roman"/>
          <w:szCs w:val="21"/>
        </w:rPr>
        <w:t>sensitivity analysis</w:t>
      </w:r>
      <w:r>
        <w:rPr>
          <w:rFonts w:hint="eastAsia" w:ascii="Times New Roman" w:hAnsi="Times New Roman" w:eastAsia="宋体" w:cs="Times New Roman"/>
          <w:szCs w:val="21"/>
        </w:rPr>
        <w:t xml:space="preserve">; </w:t>
      </w:r>
      <w:r>
        <w:rPr>
          <w:rFonts w:ascii="Times New Roman" w:hAnsi="Times New Roman" w:eastAsia="宋体" w:cs="Times New Roman"/>
          <w:szCs w:val="21"/>
        </w:rPr>
        <w:t>Strength demand</w:t>
      </w:r>
    </w:p>
    <w:p>
      <w:pPr>
        <w:rPr>
          <w:rFonts w:ascii="宋体" w:hAnsi="宋体" w:eastAsia="宋体"/>
          <w:szCs w:val="21"/>
        </w:rPr>
      </w:pPr>
      <w:r>
        <w:rPr>
          <w:rFonts w:ascii="宋体" w:hAnsi="宋体" w:eastAsia="宋体"/>
          <w:b/>
          <w:szCs w:val="21"/>
        </w:rPr>
        <w:t>引言</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罗河铁矿是大型地下矿山，矿体厚大，空间形态复杂，埋藏较深。目前主要采用大直径深孔落矿阶段空场嗣后充填采矿法，分两步骤回采，采场最高达 85m，长72m，一步采场宽15m，二步采场宽21m，单个采场空区体积最大达12.85万m³，充填体侧向暴露面积达5000~6200㎡。采场按隔一采一的顺序回采，一步骤采空区用胶结充填，当胶结充填体达到养护强度时，再二步骤回采矿柱，采用尾砂或掺和少量胶凝材料充填。</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高阶段采场胶结充填两步骤回采过程中，围岩及矿柱应力分布、位移随着开采活动的进行发生着变化，一步和二步回采引起的地压反应相差很大。胶结充填体承受着上部覆岩层载荷（顶板压力）的同时，还承受着自重、上（下）盘围岩及两侧原生矿柱应力释放、采场生产爆破冲击等力学环境的作用，具有复合型、反复性等特点，采场的顺利回采是罗河铁矿高产、稳产的保证，采场胶结充填的稳定性直接关系着矿柱是否能够顺利回采。</w:t>
      </w:r>
    </w:p>
    <w:p>
      <w:pPr>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1  高阶段采场充填体强度影响因素</w:t>
      </w:r>
    </w:p>
    <w:p>
      <w:pPr>
        <w:spacing w:line="360" w:lineRule="auto"/>
        <w:ind w:firstLine="420" w:firstLineChars="200"/>
        <w:rPr>
          <w:rFonts w:asciiTheme="minorEastAsia" w:hAnsiTheme="minorEastAsia"/>
          <w:szCs w:val="21"/>
        </w:rPr>
      </w:pPr>
      <w:r>
        <w:rPr>
          <w:rFonts w:hint="eastAsia" w:asciiTheme="minorEastAsia" w:hAnsiTheme="minorEastAsia"/>
          <w:szCs w:val="21"/>
        </w:rPr>
        <w:t>在假定其他不确定因素不变的条件下，选取影响充填体强度需求的主要因素有采场宽度、高度、长度和胶结充填体自身的内摩擦角</w:t>
      </w:r>
      <w:r>
        <w:rPr>
          <w:rFonts w:hint="eastAsia" w:asciiTheme="minorEastAsia" w:hAnsiTheme="minorEastAsia"/>
          <w:szCs w:val="21"/>
          <w:vertAlign w:val="superscript"/>
        </w:rPr>
        <w:t>[</w:t>
      </w:r>
      <w:r>
        <w:rPr>
          <w:rFonts w:hint="eastAsia" w:asciiTheme="minorEastAsia" w:hAnsiTheme="minorEastAsia"/>
          <w:szCs w:val="21"/>
          <w:vertAlign w:val="superscript"/>
          <w:lang w:val="en-US" w:eastAsia="zh-CN"/>
        </w:rPr>
        <w:t>1</w:t>
      </w:r>
      <w:r>
        <w:rPr>
          <w:rFonts w:hint="eastAsia" w:asciiTheme="minorEastAsia" w:hAnsiTheme="minorEastAsia"/>
          <w:szCs w:val="21"/>
          <w:vertAlign w:val="superscript"/>
        </w:rPr>
        <w:t>]</w:t>
      </w:r>
      <w:r>
        <w:rPr>
          <w:rFonts w:hint="eastAsia" w:asciiTheme="minorEastAsia" w:hAnsiTheme="minorEastAsia"/>
          <w:szCs w:val="21"/>
        </w:rPr>
        <w:t>。通过充填体力学实验、应力解析模型、强度需求计算等方法，得出各因素与充填体强度需求的关系如图1所示。</w:t>
      </w:r>
    </w:p>
    <w:p>
      <w:pPr>
        <w:spacing w:line="360" w:lineRule="auto"/>
        <w:rPr>
          <w:rFonts w:ascii="黑体" w:hAnsi="黑体" w:eastAsia="黑体"/>
          <w:b/>
          <w:szCs w:val="21"/>
        </w:rPr>
      </w:pPr>
      <w:r>
        <w:rPr>
          <w:rFonts w:ascii="Times New Roman" w:hAnsi="Times New Roman" w:eastAsia="黑体" w:cs="Times New Roman"/>
          <w:b/>
          <w:szCs w:val="21"/>
        </w:rPr>
        <w:t>1.1</w:t>
      </w:r>
      <w:r>
        <w:rPr>
          <w:rFonts w:hint="eastAsia" w:asciiTheme="majorEastAsia" w:hAnsiTheme="majorEastAsia" w:eastAsiaTheme="majorEastAsia"/>
          <w:b/>
          <w:szCs w:val="21"/>
        </w:rPr>
        <w:t xml:space="preserve">采场宽度 </w:t>
      </w:r>
    </w:p>
    <w:p>
      <w:pPr>
        <w:spacing w:line="360" w:lineRule="auto"/>
        <w:ind w:firstLine="560"/>
        <w:rPr>
          <w:rFonts w:asciiTheme="minorEastAsia" w:hAnsiTheme="minorEastAsia"/>
          <w:szCs w:val="21"/>
        </w:rPr>
      </w:pPr>
      <w:r>
        <w:rPr>
          <w:rFonts w:hint="eastAsia" w:asciiTheme="minorEastAsia" w:hAnsiTheme="minorEastAsia"/>
          <w:szCs w:val="21"/>
        </w:rPr>
        <w:t>充填体所需强度随宽度的变化关系如图 1（a）所示：在其他影响因素不变的情况下，若充填体宽度增大，其保持稳定所需要的强度明显降低。由于充填体宽度增大，相邻的围岩及充填体对该充填体的相互作用随之增大，使充填体内部的应力变小，因而充填体保持稳定所需的强度也大大降低</w:t>
      </w:r>
      <w:r>
        <w:rPr>
          <w:rFonts w:hint="eastAsia" w:asciiTheme="minorEastAsia" w:hAnsiTheme="minorEastAsia"/>
          <w:szCs w:val="21"/>
          <w:vertAlign w:val="superscript"/>
        </w:rPr>
        <w:t>[2]</w:t>
      </w:r>
      <w:r>
        <w:rPr>
          <w:rFonts w:hint="eastAsia" w:asciiTheme="minorEastAsia" w:hAnsiTheme="minorEastAsia"/>
          <w:szCs w:val="21"/>
        </w:rPr>
        <w:t xml:space="preserve">。由此可见，增大充填体的宽度，有利于提高充填体自立的稳定性。 </w:t>
      </w:r>
    </w:p>
    <w:p>
      <w:pPr>
        <w:spacing w:line="360" w:lineRule="auto"/>
        <w:rPr>
          <w:rFonts w:ascii="黑体" w:hAnsi="黑体" w:eastAsia="黑体"/>
          <w:b/>
          <w:szCs w:val="21"/>
        </w:rPr>
      </w:pPr>
      <w:r>
        <w:rPr>
          <w:rFonts w:hint="eastAsia" w:ascii="Times New Roman" w:hAnsi="Times New Roman" w:eastAsia="黑体" w:cs="Times New Roman"/>
          <w:b/>
          <w:szCs w:val="21"/>
        </w:rPr>
        <w:t>1.2</w:t>
      </w:r>
      <w:r>
        <w:rPr>
          <w:rFonts w:hint="eastAsia" w:ascii="宋体" w:hAnsi="宋体" w:eastAsia="宋体"/>
          <w:b/>
          <w:szCs w:val="21"/>
        </w:rPr>
        <w:t xml:space="preserve">采场高度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充填体高度与自立所需的强度如图 1（b）所示，由曲线可知：随着充填体高度的增加，自立所需的强度随之增加，且近似线性增长，充填体高度对稳定性的影响较为显著。 </w:t>
      </w:r>
    </w:p>
    <w:p>
      <w:pPr>
        <w:spacing w:line="360" w:lineRule="auto"/>
        <w:rPr>
          <w:rFonts w:ascii="黑体" w:hAnsi="黑体" w:eastAsia="黑体"/>
          <w:b/>
          <w:szCs w:val="21"/>
        </w:rPr>
      </w:pPr>
      <w:r>
        <w:rPr>
          <w:rFonts w:hint="eastAsia" w:ascii="Times New Roman" w:hAnsi="Times New Roman" w:eastAsia="黑体" w:cs="Times New Roman"/>
          <w:b/>
          <w:szCs w:val="21"/>
        </w:rPr>
        <w:t>1.3</w:t>
      </w:r>
      <w:r>
        <w:rPr>
          <w:rFonts w:hint="eastAsia" w:ascii="宋体" w:hAnsi="宋体" w:eastAsia="宋体"/>
          <w:b/>
          <w:szCs w:val="21"/>
        </w:rPr>
        <w:t>采场长度</w:t>
      </w:r>
      <w:r>
        <w:rPr>
          <w:rFonts w:hint="eastAsia" w:ascii="黑体" w:hAnsi="黑体" w:eastAsia="黑体"/>
          <w:b/>
          <w:szCs w:val="21"/>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充填体长度对所需强度的影响也是很明显的。如图1（c）所示：充填体要求的强度随着长度的增加而增大，充填体长度越长，相邻围岩及其他充填体与该充填体的相互作用就越弱，充填体只有通过提高自身强度来保持自立。 </w:t>
      </w:r>
    </w:p>
    <w:p>
      <w:pPr>
        <w:spacing w:line="360" w:lineRule="auto"/>
        <w:rPr>
          <w:rFonts w:ascii="黑体" w:hAnsi="黑体" w:eastAsia="黑体"/>
          <w:b/>
          <w:szCs w:val="21"/>
        </w:rPr>
      </w:pPr>
      <w:r>
        <w:rPr>
          <w:rFonts w:hint="eastAsia" w:ascii="Times New Roman" w:hAnsi="Times New Roman" w:eastAsia="黑体" w:cs="Times New Roman"/>
          <w:b/>
          <w:szCs w:val="21"/>
        </w:rPr>
        <w:t>1.4</w:t>
      </w:r>
      <w:r>
        <w:rPr>
          <w:rFonts w:hint="eastAsia" w:ascii="宋体" w:hAnsi="宋体" w:eastAsia="宋体"/>
          <w:b/>
          <w:szCs w:val="21"/>
        </w:rPr>
        <w:t xml:space="preserve">内摩擦角 </w:t>
      </w:r>
    </w:p>
    <w:p>
      <w:pPr>
        <w:spacing w:line="360" w:lineRule="auto"/>
        <w:ind w:firstLine="420" w:firstLineChars="200"/>
        <w:rPr>
          <w:rFonts w:asciiTheme="minorEastAsia" w:hAnsiTheme="minorEastAsia"/>
          <w:szCs w:val="21"/>
        </w:rPr>
      </w:pPr>
      <w:r>
        <w:rPr>
          <w:rFonts w:hint="eastAsia" w:asciiTheme="minorEastAsia" w:hAnsiTheme="minorEastAsia"/>
          <w:szCs w:val="21"/>
        </w:rPr>
        <w:t>充填体自立强度与内摩擦角之间的关系曲线图 1（d）所示：保持其他影响因素不变的前提下，内摩擦角越小，充填体所需的强度也越小，且强度变化范围较小。内摩擦角的大小主要影响滑移面与水平面的夹角。</w:t>
      </w:r>
    </w:p>
    <w:p>
      <w:pPr>
        <w:spacing w:line="360" w:lineRule="auto"/>
        <w:rPr>
          <w:rFonts w:ascii="Times New Roman" w:hAnsi="Times New Roman" w:eastAsia="宋体" w:cs="Times New Roman"/>
          <w:sz w:val="24"/>
        </w:rPr>
      </w:pPr>
      <w:r>
        <w:rPr>
          <w:rFonts w:hint="eastAsia" w:asciiTheme="minorEastAsia" w:hAnsiTheme="minorEastAsia"/>
          <w:szCs w:val="21"/>
        </w:rPr>
        <w:t xml:space="preserve"> </w:t>
      </w:r>
      <w:r>
        <w:rPr>
          <w:rFonts w:hint="eastAsia" w:ascii="Times New Roman" w:hAnsi="Times New Roman" w:eastAsia="宋体" w:cs="Times New Roman"/>
          <w:sz w:val="24"/>
        </w:rPr>
        <w:drawing>
          <wp:inline distT="0" distB="0" distL="0" distR="0">
            <wp:extent cx="2572385" cy="19450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
                      <a:extLst>
                        <a:ext uri="{28A0092B-C50C-407E-A947-70E740481C1C}">
                          <a14:useLocalDpi xmlns:a14="http://schemas.microsoft.com/office/drawing/2010/main" val="0"/>
                        </a:ext>
                      </a:extLst>
                    </a:blip>
                    <a:srcRect l="7495" t="11043" r="13704" b="4294"/>
                    <a:stretch>
                      <a:fillRect/>
                    </a:stretch>
                  </pic:blipFill>
                  <pic:spPr>
                    <a:xfrm>
                      <a:off x="0" y="0"/>
                      <a:ext cx="2572385" cy="1945005"/>
                    </a:xfrm>
                    <a:prstGeom prst="rect">
                      <a:avLst/>
                    </a:prstGeom>
                    <a:noFill/>
                    <a:ln>
                      <a:noFill/>
                    </a:ln>
                  </pic:spPr>
                </pic:pic>
              </a:graphicData>
            </a:graphic>
          </wp:inline>
        </w:drawing>
      </w:r>
      <w:r>
        <w:rPr>
          <w:rFonts w:hint="eastAsia" w:ascii="Times New Roman" w:hAnsi="Times New Roman" w:eastAsia="宋体" w:cs="Times New Roman"/>
          <w:sz w:val="24"/>
        </w:rPr>
        <w:drawing>
          <wp:inline distT="0" distB="0" distL="0" distR="0">
            <wp:extent cx="2633980" cy="1978660"/>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a:extLst>
                        <a:ext uri="{28A0092B-C50C-407E-A947-70E740481C1C}">
                          <a14:useLocalDpi xmlns:a14="http://schemas.microsoft.com/office/drawing/2010/main" val="0"/>
                        </a:ext>
                      </a:extLst>
                    </a:blip>
                    <a:srcRect l="6853" t="8282" r="11777" b="3987"/>
                    <a:stretch>
                      <a:fillRect/>
                    </a:stretch>
                  </pic:blipFill>
                  <pic:spPr>
                    <a:xfrm>
                      <a:off x="0" y="0"/>
                      <a:ext cx="2633980" cy="1978660"/>
                    </a:xfrm>
                    <a:prstGeom prst="rect">
                      <a:avLst/>
                    </a:prstGeom>
                    <a:noFill/>
                    <a:ln>
                      <a:noFill/>
                    </a:ln>
                  </pic:spPr>
                </pic:pic>
              </a:graphicData>
            </a:graphic>
          </wp:inline>
        </w:drawing>
      </w:r>
      <w:r>
        <w:rPr>
          <w:rFonts w:hint="eastAsia" w:ascii="Times New Roman" w:hAnsi="Times New Roman" w:eastAsia="宋体" w:cs="Times New Roman"/>
          <w:sz w:val="24"/>
        </w:rPr>
        <w:t xml:space="preserve"> </w:t>
      </w:r>
    </w:p>
    <w:p>
      <w:pPr>
        <w:spacing w:line="360" w:lineRule="auto"/>
        <w:ind w:firstLine="1440" w:firstLineChars="800"/>
        <w:jc w:val="left"/>
        <w:rPr>
          <w:rFonts w:ascii="Times New Roman" w:hAnsi="Times New Roman" w:eastAsia="楷体_GB2312" w:cs="Times New Roman"/>
          <w:color w:val="000000"/>
        </w:rPr>
      </w:pPr>
      <w:r>
        <w:rPr>
          <w:rFonts w:hint="eastAsia" w:ascii="Times New Roman" w:hAnsi="Times New Roman" w:eastAsia="宋体" w:cs="宋体"/>
          <w:sz w:val="18"/>
          <w:szCs w:val="18"/>
        </w:rPr>
        <w:t xml:space="preserve">（a）宽度与需求强度 </w:t>
      </w:r>
      <w:r>
        <w:rPr>
          <w:rFonts w:hint="eastAsia" w:ascii="Times New Roman" w:hAnsi="Times New Roman" w:eastAsia="楷体_GB2312" w:cs="Times New Roman"/>
          <w:color w:val="000000"/>
        </w:rPr>
        <w:t xml:space="preserve">                    </w:t>
      </w:r>
      <w:r>
        <w:rPr>
          <w:rFonts w:hint="eastAsia" w:ascii="Times New Roman" w:hAnsi="Times New Roman" w:eastAsia="宋体" w:cs="宋体"/>
          <w:sz w:val="18"/>
          <w:szCs w:val="18"/>
        </w:rPr>
        <w:t>（b）高度与需求强度</w:t>
      </w: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drawing>
          <wp:inline distT="0" distB="0" distL="0" distR="0">
            <wp:extent cx="2490470" cy="1869440"/>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l="7709" t="10429" r="13919" b="4294"/>
                    <a:stretch>
                      <a:fillRect/>
                    </a:stretch>
                  </pic:blipFill>
                  <pic:spPr>
                    <a:xfrm>
                      <a:off x="0" y="0"/>
                      <a:ext cx="2490470" cy="1869440"/>
                    </a:xfrm>
                    <a:prstGeom prst="rect">
                      <a:avLst/>
                    </a:prstGeom>
                    <a:noFill/>
                    <a:ln>
                      <a:noFill/>
                    </a:ln>
                  </pic:spPr>
                </pic:pic>
              </a:graphicData>
            </a:graphic>
          </wp:inline>
        </w:drawing>
      </w:r>
      <w:r>
        <w:rPr>
          <w:rFonts w:hint="eastAsia" w:ascii="Times New Roman" w:hAnsi="Times New Roman" w:eastAsia="宋体" w:cs="Times New Roman"/>
          <w:sz w:val="24"/>
        </w:rPr>
        <w:drawing>
          <wp:inline distT="0" distB="0" distL="0" distR="0">
            <wp:extent cx="2517775" cy="19107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extLst>
                        <a:ext uri="{28A0092B-C50C-407E-A947-70E740481C1C}">
                          <a14:useLocalDpi xmlns:a14="http://schemas.microsoft.com/office/drawing/2010/main" val="0"/>
                        </a:ext>
                      </a:extLst>
                    </a:blip>
                    <a:srcRect l="5782" t="7976" r="13919" b="3987"/>
                    <a:stretch>
                      <a:fillRect/>
                    </a:stretch>
                  </pic:blipFill>
                  <pic:spPr>
                    <a:xfrm>
                      <a:off x="0" y="0"/>
                      <a:ext cx="2517775" cy="1910715"/>
                    </a:xfrm>
                    <a:prstGeom prst="rect">
                      <a:avLst/>
                    </a:prstGeom>
                    <a:noFill/>
                    <a:ln>
                      <a:noFill/>
                    </a:ln>
                  </pic:spPr>
                </pic:pic>
              </a:graphicData>
            </a:graphic>
          </wp:inline>
        </w:drawing>
      </w:r>
    </w:p>
    <w:p>
      <w:pPr>
        <w:spacing w:line="360" w:lineRule="auto"/>
        <w:ind w:firstLine="1440" w:firstLineChars="800"/>
        <w:jc w:val="left"/>
        <w:rPr>
          <w:rFonts w:ascii="Times New Roman" w:hAnsi="Times New Roman" w:eastAsia="楷体_GB2312" w:cs="Times New Roman"/>
          <w:color w:val="000000"/>
        </w:rPr>
      </w:pPr>
      <w:r>
        <w:rPr>
          <w:rFonts w:hint="eastAsia" w:ascii="Times New Roman" w:hAnsi="Times New Roman" w:eastAsia="宋体" w:cs="宋体"/>
          <w:sz w:val="18"/>
          <w:szCs w:val="18"/>
        </w:rPr>
        <w:t>（c）长度与需求强度</w:t>
      </w:r>
      <w:r>
        <w:rPr>
          <w:rFonts w:hint="eastAsia" w:ascii="Times New Roman" w:hAnsi="Times New Roman" w:eastAsia="楷体_GB2312" w:cs="Times New Roman"/>
          <w:color w:val="000000"/>
        </w:rPr>
        <w:t xml:space="preserve">                   </w:t>
      </w:r>
      <w:r>
        <w:rPr>
          <w:rFonts w:hint="eastAsia" w:ascii="Times New Roman" w:hAnsi="Times New Roman" w:eastAsia="宋体" w:cs="宋体"/>
          <w:sz w:val="18"/>
          <w:szCs w:val="18"/>
        </w:rPr>
        <w:t>（d）内摩擦角与需求强度</w:t>
      </w:r>
    </w:p>
    <w:p>
      <w:pPr>
        <w:spacing w:line="360" w:lineRule="auto"/>
        <w:jc w:val="center"/>
        <w:rPr>
          <w:rFonts w:ascii="宋体" w:hAnsi="宋体" w:eastAsia="宋体" w:cs="Times New Roman"/>
          <w:sz w:val="18"/>
          <w:szCs w:val="18"/>
        </w:rPr>
      </w:pPr>
      <w:r>
        <w:rPr>
          <w:rFonts w:ascii="宋体" w:hAnsi="宋体" w:eastAsia="宋体" w:cs="Times New Roman"/>
          <w:sz w:val="18"/>
          <w:szCs w:val="18"/>
        </w:rPr>
        <w:t>图</w:t>
      </w:r>
      <w:r>
        <w:rPr>
          <w:rFonts w:ascii="Times New Roman" w:hAnsi="Times New Roman" w:eastAsia="黑体" w:cs="Times New Roman"/>
          <w:sz w:val="18"/>
          <w:szCs w:val="18"/>
        </w:rPr>
        <w:t>1</w:t>
      </w:r>
      <w:r>
        <w:rPr>
          <w:rFonts w:ascii="黑体" w:hAnsi="Times New Roman" w:eastAsia="黑体" w:cs="Times New Roman"/>
          <w:sz w:val="18"/>
          <w:szCs w:val="18"/>
        </w:rPr>
        <w:t xml:space="preserve"> </w:t>
      </w:r>
      <w:r>
        <w:rPr>
          <w:rFonts w:ascii="宋体" w:hAnsi="宋体" w:eastAsia="宋体" w:cs="Times New Roman"/>
          <w:sz w:val="18"/>
          <w:szCs w:val="18"/>
        </w:rPr>
        <w:t>各影响因素与充填体强度需求关系</w:t>
      </w:r>
    </w:p>
    <w:p>
      <w:pPr>
        <w:pStyle w:val="11"/>
        <w:spacing w:beforeLines="0" w:afterLines="0" w:line="360" w:lineRule="auto"/>
        <w:ind w:firstLine="0" w:firstLineChars="0"/>
        <w:jc w:val="center"/>
        <w:rPr>
          <w:rFonts w:eastAsia="黑体" w:cs="Times New Roman"/>
          <w:sz w:val="18"/>
          <w:szCs w:val="18"/>
        </w:rPr>
      </w:pPr>
      <w:r>
        <w:rPr>
          <w:rFonts w:eastAsia="黑体" w:cs="Times New Roman"/>
          <w:sz w:val="18"/>
          <w:szCs w:val="18"/>
        </w:rPr>
        <w:t>Fig. 3-24 relationship between influence factors and strength demand of filling body</w:t>
      </w:r>
    </w:p>
    <w:p>
      <w:pPr>
        <w:spacing w:line="360" w:lineRule="auto"/>
        <w:rPr>
          <w:rFonts w:ascii="黑体" w:hAnsi="Times New Roman" w:eastAsia="黑体" w:cs="Times New Roman"/>
          <w:b/>
          <w:sz w:val="24"/>
          <w:szCs w:val="24"/>
        </w:rPr>
      </w:pPr>
      <w:r>
        <w:rPr>
          <w:rFonts w:hint="eastAsia" w:ascii="Times New Roman" w:hAnsi="Times New Roman" w:eastAsia="黑体" w:cs="Times New Roman"/>
          <w:b/>
          <w:szCs w:val="21"/>
        </w:rPr>
        <w:t xml:space="preserve">2 </w:t>
      </w:r>
      <w:r>
        <w:rPr>
          <w:rFonts w:hint="eastAsia" w:ascii="黑体" w:hAnsi="Times New Roman" w:eastAsia="黑体" w:cs="Times New Roman"/>
          <w:b/>
          <w:sz w:val="24"/>
          <w:szCs w:val="24"/>
        </w:rPr>
        <w:t xml:space="preserve"> </w:t>
      </w:r>
      <w:r>
        <w:rPr>
          <w:rFonts w:hint="eastAsia" w:ascii="宋体" w:hAnsi="宋体" w:eastAsia="宋体" w:cs="Times New Roman"/>
          <w:b/>
          <w:sz w:val="24"/>
          <w:szCs w:val="24"/>
        </w:rPr>
        <w:t>影响因素敏感性分析</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考虑采场尺寸的多样性和复杂性，同时主要探讨采场宽度、采场高度和采场长度以及内摩擦角对需求充填体抗压强度的影响，利用BOX-BEHNKEN 设计法开展试验，根据设计原理进行</w:t>
      </w:r>
      <w:r>
        <w:rPr>
          <w:rFonts w:hint="eastAsia" w:asciiTheme="minorEastAsia" w:hAnsiTheme="minorEastAsia"/>
          <w:szCs w:val="21"/>
          <w:lang w:val="en-US" w:eastAsia="zh-CN"/>
        </w:rPr>
        <w:t>四因素三</w:t>
      </w:r>
      <w:r>
        <w:rPr>
          <w:rFonts w:hint="eastAsia" w:asciiTheme="minorEastAsia" w:hAnsiTheme="minorEastAsia"/>
          <w:szCs w:val="21"/>
        </w:rPr>
        <w:t>水平</w:t>
      </w:r>
      <w:r>
        <w:rPr>
          <w:rFonts w:hint="eastAsia" w:asciiTheme="minorEastAsia" w:hAnsiTheme="minorEastAsia"/>
          <w:szCs w:val="21"/>
          <w:lang w:val="en-US" w:eastAsia="zh-CN"/>
        </w:rPr>
        <w:t>响应量分析实验</w:t>
      </w:r>
      <w:r>
        <w:rPr>
          <w:rFonts w:hint="eastAsia" w:asciiTheme="minorEastAsia" w:hAnsiTheme="minorEastAsia"/>
          <w:szCs w:val="21"/>
        </w:rPr>
        <w:t xml:space="preserve">，影响因素及水平见表 1。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其中，表中中心水平为基准组，编码值根据公式（1）计算： </w:t>
      </w:r>
    </w:p>
    <w:p>
      <w:pPr>
        <w:spacing w:line="360" w:lineRule="auto"/>
        <w:ind w:firstLine="3498" w:firstLineChars="1666"/>
        <w:jc w:val="left"/>
        <w:rPr>
          <w:rFonts w:asciiTheme="minorEastAsia" w:hAnsiTheme="minorEastAsia"/>
          <w:szCs w:val="21"/>
        </w:rPr>
      </w:pPr>
      <w:r>
        <w:rPr>
          <w:rFonts w:ascii="Cambria Math" w:hAnsi="Cambria Math"/>
          <w:szCs w:val="21"/>
        </w:rPr>
        <w:t>Χ</w:t>
      </w:r>
      <w:r>
        <w:rPr>
          <w:rFonts w:ascii="Cambria Math" w:hAnsi="Cambria Math"/>
          <w:szCs w:val="21"/>
          <w:vertAlign w:val="subscript"/>
        </w:rPr>
        <w:t>i</w:t>
      </w:r>
      <w:r>
        <w:rPr>
          <w:rFonts w:ascii="Cambria Math" w:hAnsi="Cambria Math"/>
          <w:szCs w:val="21"/>
        </w:rPr>
        <w:t>=（x</w:t>
      </w:r>
      <w:r>
        <w:rPr>
          <w:rFonts w:ascii="Cambria Math" w:hAnsi="Cambria Math"/>
          <w:szCs w:val="21"/>
          <w:vertAlign w:val="subscript"/>
        </w:rPr>
        <w:t>i</w:t>
      </w:r>
      <w:r>
        <w:rPr>
          <w:rFonts w:ascii="Cambria Math" w:hAnsi="Cambria Math"/>
          <w:szCs w:val="21"/>
        </w:rPr>
        <w:t>-x</w:t>
      </w:r>
      <w:r>
        <w:rPr>
          <w:rFonts w:ascii="Cambria Math" w:hAnsi="Cambria Math"/>
          <w:szCs w:val="21"/>
          <w:vertAlign w:val="subscript"/>
        </w:rPr>
        <w:t>0</w:t>
      </w:r>
      <w:r>
        <w:rPr>
          <w:rFonts w:ascii="Cambria Math" w:hAnsi="Cambria Math"/>
          <w:szCs w:val="21"/>
        </w:rPr>
        <w:t xml:space="preserve">）/Δx </w:t>
      </w:r>
      <w:r>
        <w:rPr>
          <w:rFonts w:hint="eastAsia" w:ascii="Cambria Math" w:hAnsi="Cambria Math"/>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（1）</w:t>
      </w:r>
      <w:r>
        <w:rPr>
          <w:rFonts w:asciiTheme="minorEastAsia" w:hAnsiTheme="minorEastAsia"/>
          <w:szCs w:val="21"/>
        </w:rPr>
        <w:t xml:space="preserve">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式中：</w:t>
      </w:r>
      <w:r>
        <w:rPr>
          <w:rFonts w:ascii="Cambria" w:hAnsi="Cambria"/>
          <w:szCs w:val="21"/>
        </w:rPr>
        <w:t>Χ</w:t>
      </w:r>
      <w:r>
        <w:rPr>
          <w:rFonts w:ascii="Cambria" w:hAnsi="Cambria"/>
          <w:szCs w:val="21"/>
          <w:vertAlign w:val="subscript"/>
        </w:rPr>
        <w:t>i</w:t>
      </w:r>
      <w:r>
        <w:rPr>
          <w:rFonts w:hint="eastAsia" w:asciiTheme="minorEastAsia" w:hAnsiTheme="minorEastAsia"/>
          <w:szCs w:val="21"/>
        </w:rPr>
        <w:t>为自变量</w:t>
      </w:r>
      <w:r>
        <w:rPr>
          <w:rFonts w:hint="eastAsia" w:ascii="Cambria" w:hAnsi="Cambria"/>
          <w:szCs w:val="21"/>
        </w:rPr>
        <w:t>x</w:t>
      </w:r>
      <w:r>
        <w:rPr>
          <w:rFonts w:hint="eastAsia" w:ascii="Cambria" w:hAnsi="Cambria"/>
          <w:szCs w:val="21"/>
          <w:vertAlign w:val="subscript"/>
        </w:rPr>
        <w:t>i</w:t>
      </w:r>
      <w:r>
        <w:rPr>
          <w:rFonts w:hint="eastAsia" w:asciiTheme="minorEastAsia" w:hAnsiTheme="minorEastAsia"/>
          <w:szCs w:val="21"/>
        </w:rPr>
        <w:t>的编码值，</w:t>
      </w:r>
      <w:r>
        <w:rPr>
          <w:rFonts w:hint="eastAsia" w:ascii="Cambria" w:hAnsi="Cambria"/>
          <w:szCs w:val="21"/>
        </w:rPr>
        <w:t>x</w:t>
      </w:r>
      <w:r>
        <w:rPr>
          <w:rFonts w:hint="eastAsia" w:ascii="Cambria" w:hAnsi="Cambria"/>
          <w:szCs w:val="21"/>
          <w:vertAlign w:val="subscript"/>
        </w:rPr>
        <w:t>0</w:t>
      </w:r>
      <w:r>
        <w:rPr>
          <w:rFonts w:hint="eastAsia" w:asciiTheme="minorEastAsia" w:hAnsiTheme="minorEastAsia"/>
          <w:szCs w:val="21"/>
        </w:rPr>
        <w:t>为自变量在中心点的值，</w:t>
      </w:r>
      <w:r>
        <w:rPr>
          <w:rFonts w:ascii="Cambria" w:hAnsi="Cambria"/>
          <w:szCs w:val="21"/>
        </w:rPr>
        <w:t>Δx</w:t>
      </w:r>
      <w:r>
        <w:rPr>
          <w:rFonts w:ascii="Cambria" w:hAnsi="Cambria"/>
          <w:szCs w:val="21"/>
          <w:vertAlign w:val="subscript"/>
        </w:rPr>
        <w:t>i</w:t>
      </w:r>
      <w:r>
        <w:rPr>
          <w:rFonts w:ascii="Cambria" w:hAnsi="Cambria"/>
          <w:szCs w:val="21"/>
        </w:rPr>
        <w:t xml:space="preserve"> </w:t>
      </w:r>
      <w:r>
        <w:rPr>
          <w:rFonts w:hint="eastAsia" w:asciiTheme="minorEastAsia" w:hAnsiTheme="minorEastAsia"/>
          <w:szCs w:val="21"/>
        </w:rPr>
        <w:t>为自变量变化步长。</w:t>
      </w:r>
    </w:p>
    <w:p>
      <w:pPr>
        <w:spacing w:line="360" w:lineRule="auto"/>
        <w:jc w:val="center"/>
        <w:rPr>
          <w:rFonts w:ascii="黑体" w:hAnsi="宋体" w:eastAsia="黑体" w:cs="Times New Roman"/>
          <w:b/>
          <w:sz w:val="18"/>
          <w:szCs w:val="18"/>
        </w:rPr>
      </w:pPr>
      <w:r>
        <w:rPr>
          <w:rFonts w:hint="eastAsia" w:ascii="宋体" w:hAnsi="宋体" w:eastAsia="宋体" w:cs="Times New Roman"/>
          <w:sz w:val="18"/>
          <w:szCs w:val="18"/>
        </w:rPr>
        <w:t>表</w:t>
      </w:r>
      <w:r>
        <w:rPr>
          <w:rFonts w:ascii="Times New Roman" w:hAnsi="Times New Roman" w:eastAsia="黑体" w:cs="Times New Roman"/>
          <w:sz w:val="18"/>
          <w:szCs w:val="18"/>
        </w:rPr>
        <w:t>1</w:t>
      </w:r>
      <w:r>
        <w:rPr>
          <w:rFonts w:hint="eastAsia" w:ascii="黑体" w:hAnsi="宋体" w:eastAsia="黑体" w:cs="Times New Roman"/>
          <w:b/>
          <w:sz w:val="18"/>
          <w:szCs w:val="18"/>
        </w:rPr>
        <w:t xml:space="preserve"> </w:t>
      </w:r>
      <w:r>
        <w:rPr>
          <w:rFonts w:hint="eastAsia" w:ascii="宋体" w:hAnsi="宋体" w:eastAsia="宋体" w:cs="Times New Roman"/>
          <w:sz w:val="18"/>
          <w:szCs w:val="18"/>
        </w:rPr>
        <w:t>响应量影响因素及水平</w:t>
      </w:r>
    </w:p>
    <w:p>
      <w:pPr>
        <w:spacing w:line="360" w:lineRule="auto"/>
        <w:jc w:val="center"/>
        <w:rPr>
          <w:rFonts w:ascii="Times New Roman" w:hAnsi="宋体" w:eastAsia="宋体" w:cs="Times New Roman"/>
          <w:sz w:val="18"/>
          <w:szCs w:val="18"/>
        </w:rPr>
      </w:pPr>
      <w:r>
        <w:rPr>
          <w:rFonts w:ascii="Times New Roman" w:hAnsi="宋体" w:eastAsia="宋体" w:cs="Times New Roman"/>
          <w:sz w:val="18"/>
          <w:szCs w:val="18"/>
        </w:rPr>
        <w:t>Table 1</w:t>
      </w:r>
      <w:r>
        <w:rPr>
          <w:rFonts w:hint="eastAsia" w:ascii="Times New Roman" w:hAnsi="宋体" w:eastAsia="宋体" w:cs="Times New Roman"/>
          <w:sz w:val="18"/>
          <w:szCs w:val="18"/>
        </w:rPr>
        <w:t xml:space="preserve">  </w:t>
      </w:r>
      <w:r>
        <w:rPr>
          <w:rFonts w:ascii="Times New Roman" w:hAnsi="宋体" w:eastAsia="宋体" w:cs="Times New Roman"/>
          <w:sz w:val="18"/>
          <w:szCs w:val="18"/>
        </w:rPr>
        <w:t xml:space="preserve"> influencing factors and levels of response</w:t>
      </w:r>
    </w:p>
    <w:tbl>
      <w:tblPr>
        <w:tblStyle w:val="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6"/>
        <w:gridCol w:w="756"/>
        <w:gridCol w:w="936"/>
        <w:gridCol w:w="1026"/>
        <w:gridCol w:w="84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restart"/>
            <w:tcBorders>
              <w:top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影响因素</w:t>
            </w:r>
          </w:p>
        </w:tc>
        <w:tc>
          <w:tcPr>
            <w:tcW w:w="0" w:type="auto"/>
            <w:vMerge w:val="restart"/>
            <w:tcBorders>
              <w:top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编码值</w:t>
            </w:r>
          </w:p>
        </w:tc>
        <w:tc>
          <w:tcPr>
            <w:tcW w:w="0" w:type="auto"/>
            <w:gridSpan w:val="3"/>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编码水平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bottom w:val="single" w:color="auto" w:sz="4" w:space="0"/>
            </w:tcBorders>
          </w:tcPr>
          <w:p>
            <w:pPr>
              <w:spacing w:line="360" w:lineRule="auto"/>
              <w:jc w:val="center"/>
              <w:rPr>
                <w:rFonts w:asciiTheme="minorEastAsia" w:hAnsiTheme="minorEastAsia"/>
                <w:sz w:val="18"/>
                <w:szCs w:val="18"/>
              </w:rPr>
            </w:pPr>
          </w:p>
        </w:tc>
        <w:tc>
          <w:tcPr>
            <w:tcW w:w="0" w:type="auto"/>
            <w:vMerge w:val="continue"/>
            <w:tcBorders>
              <w:bottom w:val="single" w:color="auto" w:sz="4" w:space="0"/>
            </w:tcBorders>
          </w:tcPr>
          <w:p>
            <w:pPr>
              <w:spacing w:line="360" w:lineRule="auto"/>
              <w:jc w:val="center"/>
              <w:rPr>
                <w:rFonts w:asciiTheme="minorEastAsia" w:hAnsiTheme="minorEastAsia"/>
                <w:sz w:val="18"/>
                <w:szCs w:val="18"/>
              </w:rPr>
            </w:pPr>
          </w:p>
        </w:tc>
        <w:tc>
          <w:tcPr>
            <w:tcW w:w="0" w:type="auto"/>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低（-1）</w:t>
            </w:r>
          </w:p>
        </w:tc>
        <w:tc>
          <w:tcPr>
            <w:tcW w:w="0" w:type="auto"/>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中心（0）</w:t>
            </w:r>
          </w:p>
        </w:tc>
        <w:tc>
          <w:tcPr>
            <w:tcW w:w="0" w:type="auto"/>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高（1）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cBorders>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rPr>
              <w:t>采场宽度</w:t>
            </w:r>
            <w:r>
              <w:rPr>
                <w:rFonts w:hint="eastAsia" w:asciiTheme="minorEastAsia" w:hAnsiTheme="minorEastAsia"/>
                <w:sz w:val="18"/>
                <w:szCs w:val="18"/>
                <w:lang w:val="en-US" w:eastAsia="zh-CN"/>
              </w:rPr>
              <w:t>/m</w:t>
            </w:r>
          </w:p>
        </w:tc>
        <w:tc>
          <w:tcPr>
            <w:tcW w:w="0" w:type="auto"/>
            <w:tcBorders>
              <w:top w:val="single" w:color="auto" w:sz="4" w:space="0"/>
            </w:tcBorders>
          </w:tcPr>
          <w:p>
            <w:pPr>
              <w:spacing w:line="360" w:lineRule="auto"/>
              <w:jc w:val="center"/>
              <w:rPr>
                <w:rFonts w:asciiTheme="minorEastAsia" w:hAnsiTheme="minorEastAsia"/>
                <w:sz w:val="18"/>
                <w:szCs w:val="18"/>
              </w:rPr>
            </w:pPr>
            <w:r>
              <w:rPr>
                <w:rFonts w:ascii="Cambria Math" w:hAnsi="Cambria Math"/>
                <w:sz w:val="18"/>
                <w:szCs w:val="18"/>
              </w:rPr>
              <w:t>Χ</w:t>
            </w:r>
            <w:r>
              <w:rPr>
                <w:rFonts w:hint="eastAsia" w:ascii="Cambria Math" w:hAnsi="Cambria Math"/>
                <w:sz w:val="18"/>
                <w:szCs w:val="18"/>
                <w:vertAlign w:val="subscript"/>
              </w:rPr>
              <w:t>1</w:t>
            </w:r>
          </w:p>
        </w:tc>
        <w:tc>
          <w:tcPr>
            <w:tcW w:w="0" w:type="auto"/>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10</w:t>
            </w:r>
          </w:p>
        </w:tc>
        <w:tc>
          <w:tcPr>
            <w:tcW w:w="0" w:type="auto"/>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17.5</w:t>
            </w:r>
          </w:p>
        </w:tc>
        <w:tc>
          <w:tcPr>
            <w:tcW w:w="0" w:type="auto"/>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rPr>
              <w:t>采场高度</w:t>
            </w:r>
            <w:r>
              <w:rPr>
                <w:rFonts w:hint="eastAsia" w:asciiTheme="minorEastAsia" w:hAnsiTheme="minorEastAsia"/>
                <w:sz w:val="18"/>
                <w:szCs w:val="18"/>
                <w:lang w:val="en-US" w:eastAsia="zh-CN"/>
              </w:rPr>
              <w:t>/m</w:t>
            </w:r>
          </w:p>
        </w:tc>
        <w:tc>
          <w:tcPr>
            <w:tcW w:w="0" w:type="auto"/>
          </w:tcPr>
          <w:p>
            <w:pPr>
              <w:spacing w:line="360" w:lineRule="auto"/>
              <w:jc w:val="center"/>
              <w:rPr>
                <w:rFonts w:asciiTheme="minorEastAsia" w:hAnsiTheme="minorEastAsia"/>
                <w:sz w:val="18"/>
                <w:szCs w:val="18"/>
              </w:rPr>
            </w:pPr>
            <w:r>
              <w:rPr>
                <w:rFonts w:ascii="Cambria Math" w:hAnsi="Cambria Math"/>
                <w:sz w:val="18"/>
                <w:szCs w:val="18"/>
              </w:rPr>
              <w:t>Χ</w:t>
            </w:r>
            <w:r>
              <w:rPr>
                <w:rFonts w:hint="eastAsia" w:ascii="Cambria Math" w:hAnsi="Cambria Math"/>
                <w:sz w:val="18"/>
                <w:szCs w:val="18"/>
                <w:vertAlign w:val="subscript"/>
              </w:rPr>
              <w:t>2</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rPr>
              <w:t>采场长度</w:t>
            </w:r>
            <w:r>
              <w:rPr>
                <w:rFonts w:hint="eastAsia" w:asciiTheme="minorEastAsia" w:hAnsiTheme="minorEastAsia"/>
                <w:sz w:val="18"/>
                <w:szCs w:val="18"/>
                <w:lang w:val="en-US" w:eastAsia="zh-CN"/>
              </w:rPr>
              <w:t>/m</w:t>
            </w:r>
          </w:p>
        </w:tc>
        <w:tc>
          <w:tcPr>
            <w:tcW w:w="0" w:type="auto"/>
          </w:tcPr>
          <w:p>
            <w:pPr>
              <w:spacing w:line="360" w:lineRule="auto"/>
              <w:jc w:val="center"/>
              <w:rPr>
                <w:rFonts w:asciiTheme="minorEastAsia" w:hAnsiTheme="minorEastAsia"/>
                <w:sz w:val="18"/>
                <w:szCs w:val="18"/>
              </w:rPr>
            </w:pPr>
            <w:r>
              <w:rPr>
                <w:rFonts w:ascii="Cambria Math" w:hAnsi="Cambria Math"/>
                <w:sz w:val="18"/>
                <w:szCs w:val="18"/>
              </w:rPr>
              <w:t>Χ</w:t>
            </w:r>
            <w:r>
              <w:rPr>
                <w:rFonts w:hint="eastAsia" w:ascii="Cambria Math" w:hAnsi="Cambria Math"/>
                <w:sz w:val="18"/>
                <w:szCs w:val="18"/>
                <w:vertAlign w:val="subscript"/>
              </w:rPr>
              <w:t>3</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50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rPr>
              <w:t>内摩擦角</w:t>
            </w:r>
            <w:r>
              <w:rPr>
                <w:rFonts w:hint="eastAsia" w:asciiTheme="minorEastAsia" w:hAnsiTheme="minorEastAsia"/>
                <w:sz w:val="18"/>
                <w:szCs w:val="18"/>
                <w:lang w:val="en-US" w:eastAsia="zh-CN"/>
              </w:rPr>
              <w:t>/°</w:t>
            </w:r>
          </w:p>
        </w:tc>
        <w:tc>
          <w:tcPr>
            <w:tcW w:w="0" w:type="auto"/>
          </w:tcPr>
          <w:p>
            <w:pPr>
              <w:spacing w:line="360" w:lineRule="auto"/>
              <w:jc w:val="center"/>
              <w:rPr>
                <w:rFonts w:asciiTheme="minorEastAsia" w:hAnsiTheme="minorEastAsia"/>
                <w:sz w:val="18"/>
                <w:szCs w:val="18"/>
              </w:rPr>
            </w:pPr>
            <w:r>
              <w:rPr>
                <w:rFonts w:ascii="Cambria Math" w:hAnsi="Cambria Math"/>
                <w:sz w:val="18"/>
                <w:szCs w:val="18"/>
              </w:rPr>
              <w:t>Χ</w:t>
            </w:r>
            <w:r>
              <w:rPr>
                <w:rFonts w:hint="eastAsia" w:ascii="Cambria Math" w:hAnsi="Cambria Math"/>
                <w:sz w:val="18"/>
                <w:szCs w:val="18"/>
                <w:vertAlign w:val="subscript"/>
              </w:rPr>
              <w:t>4</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30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37.5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45</w:t>
            </w:r>
          </w:p>
        </w:tc>
      </w:tr>
    </w:tbl>
    <w:p>
      <w:pPr>
        <w:spacing w:line="360" w:lineRule="auto"/>
        <w:ind w:firstLine="420" w:firstLineChars="200"/>
        <w:jc w:val="left"/>
        <w:rPr>
          <w:rFonts w:asciiTheme="minorEastAsia" w:hAnsiTheme="minorEastAsia"/>
          <w:szCs w:val="21"/>
        </w:rPr>
      </w:pPr>
      <w:r>
        <w:rPr>
          <w:rFonts w:hint="eastAsia" w:asciiTheme="minorEastAsia" w:hAnsiTheme="minorEastAsia"/>
          <w:szCs w:val="21"/>
        </w:rPr>
        <w:t>通过计算得出各种参数情况下，矿山能够安全生产所需要胶结充填体的抗压强度，结果见表2。</w:t>
      </w:r>
    </w:p>
    <w:p>
      <w:pPr>
        <w:spacing w:line="360" w:lineRule="auto"/>
        <w:jc w:val="center"/>
        <w:rPr>
          <w:rFonts w:ascii="黑体" w:hAnsi="宋体" w:eastAsia="黑体" w:cs="Times New Roman"/>
          <w:b/>
          <w:sz w:val="18"/>
          <w:szCs w:val="18"/>
        </w:rPr>
      </w:pPr>
      <w:r>
        <w:rPr>
          <w:rFonts w:hint="eastAsia" w:ascii="宋体" w:hAnsi="宋体" w:eastAsia="宋体" w:cs="Times New Roman"/>
          <w:sz w:val="18"/>
          <w:szCs w:val="18"/>
        </w:rPr>
        <w:t>表</w:t>
      </w:r>
      <w:r>
        <w:rPr>
          <w:rFonts w:ascii="Times New Roman" w:hAnsi="Times New Roman" w:eastAsia="黑体" w:cs="Times New Roman"/>
          <w:sz w:val="18"/>
          <w:szCs w:val="18"/>
        </w:rPr>
        <w:t>2</w:t>
      </w:r>
      <w:r>
        <w:rPr>
          <w:rFonts w:hint="eastAsia" w:ascii="黑体" w:hAnsi="宋体" w:eastAsia="黑体" w:cs="Times New Roman"/>
          <w:b/>
          <w:sz w:val="18"/>
          <w:szCs w:val="18"/>
        </w:rPr>
        <w:t xml:space="preserve"> </w:t>
      </w:r>
      <w:r>
        <w:rPr>
          <w:rFonts w:hint="eastAsia" w:ascii="宋体" w:hAnsi="宋体" w:eastAsia="宋体" w:cs="Times New Roman"/>
          <w:sz w:val="18"/>
          <w:szCs w:val="18"/>
        </w:rPr>
        <w:t>充填体抗压强度需求计算结果</w:t>
      </w:r>
    </w:p>
    <w:p>
      <w:pPr>
        <w:spacing w:line="360" w:lineRule="auto"/>
        <w:jc w:val="center"/>
        <w:rPr>
          <w:rFonts w:ascii="Times New Roman" w:hAnsi="宋体" w:eastAsia="宋体" w:cs="Times New Roman"/>
          <w:sz w:val="18"/>
          <w:szCs w:val="18"/>
        </w:rPr>
      </w:pPr>
      <w:r>
        <w:rPr>
          <w:rFonts w:ascii="Times New Roman" w:hAnsi="宋体" w:eastAsia="宋体" w:cs="Times New Roman"/>
          <w:sz w:val="18"/>
          <w:szCs w:val="18"/>
        </w:rPr>
        <w:t>Table 2 Compressive strength demand calculation results of fillers</w:t>
      </w:r>
    </w:p>
    <w:tbl>
      <w:tblPr>
        <w:tblStyle w:val="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76"/>
        <w:gridCol w:w="1116"/>
        <w:gridCol w:w="1116"/>
        <w:gridCol w:w="1116"/>
        <w:gridCol w:w="1219"/>
        <w:gridCol w:w="1793"/>
        <w:gridCol w:w="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0" w:type="auto"/>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组数</w:t>
            </w:r>
          </w:p>
        </w:tc>
        <w:tc>
          <w:tcPr>
            <w:tcW w:w="0" w:type="auto"/>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采场宽度</w:t>
            </w:r>
            <w:r>
              <w:rPr>
                <w:rFonts w:hint="eastAsia" w:asciiTheme="minorEastAsia" w:hAnsiTheme="minorEastAsia"/>
                <w:sz w:val="18"/>
                <w:szCs w:val="18"/>
                <w:lang w:val="en-US" w:eastAsia="zh-CN"/>
              </w:rPr>
              <w:t>/m</w:t>
            </w:r>
          </w:p>
        </w:tc>
        <w:tc>
          <w:tcPr>
            <w:tcW w:w="0" w:type="auto"/>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采场长度</w:t>
            </w:r>
            <w:r>
              <w:rPr>
                <w:rFonts w:hint="eastAsia" w:asciiTheme="minorEastAsia" w:hAnsiTheme="minorEastAsia"/>
                <w:sz w:val="18"/>
                <w:szCs w:val="18"/>
                <w:lang w:val="en-US" w:eastAsia="zh-CN"/>
              </w:rPr>
              <w:t>/m</w:t>
            </w:r>
          </w:p>
        </w:tc>
        <w:tc>
          <w:tcPr>
            <w:tcW w:w="0" w:type="auto"/>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采场高度</w:t>
            </w:r>
            <w:r>
              <w:rPr>
                <w:rFonts w:hint="eastAsia" w:asciiTheme="minorEastAsia" w:hAnsiTheme="minorEastAsia"/>
                <w:sz w:val="18"/>
                <w:szCs w:val="18"/>
                <w:lang w:val="en-US" w:eastAsia="zh-CN"/>
              </w:rPr>
              <w:t>/m</w:t>
            </w:r>
          </w:p>
        </w:tc>
        <w:tc>
          <w:tcPr>
            <w:tcW w:w="1219" w:type="dxa"/>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内摩擦角</w:t>
            </w:r>
            <w:r>
              <w:rPr>
                <w:rFonts w:hint="eastAsia" w:asciiTheme="minorEastAsia" w:hAnsiTheme="minorEastAsia"/>
                <w:sz w:val="18"/>
                <w:szCs w:val="18"/>
                <w:lang w:val="en-US" w:eastAsia="zh-CN"/>
              </w:rPr>
              <w:t>/°</w:t>
            </w:r>
          </w:p>
        </w:tc>
        <w:tc>
          <w:tcPr>
            <w:tcW w:w="1850" w:type="dxa"/>
            <w:gridSpan w:val="2"/>
            <w:tcBorders>
              <w:top w:val="single" w:color="auto" w:sz="4" w:space="0"/>
              <w:bottom w:val="single" w:color="auto" w:sz="4" w:space="0"/>
            </w:tcBorders>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rPr>
              <w:t>充填体抗压强度</w:t>
            </w:r>
            <w:r>
              <w:rPr>
                <w:rFonts w:hint="eastAsia" w:asciiTheme="minorEastAsia" w:hAnsiTheme="minorEastAsia"/>
                <w:sz w:val="18"/>
                <w:szCs w:val="18"/>
                <w:lang w:val="en-US" w:eastAsia="zh-CN"/>
              </w:rPr>
              <w:t>/MPa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0" w:type="auto"/>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0" w:type="auto"/>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10</w:t>
            </w:r>
          </w:p>
        </w:tc>
        <w:tc>
          <w:tcPr>
            <w:tcW w:w="0" w:type="auto"/>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50</w:t>
            </w:r>
          </w:p>
        </w:tc>
        <w:tc>
          <w:tcPr>
            <w:tcW w:w="0" w:type="auto"/>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1219" w:type="dxa"/>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30</w:t>
            </w:r>
          </w:p>
        </w:tc>
        <w:tc>
          <w:tcPr>
            <w:tcW w:w="1850" w:type="dxa"/>
            <w:gridSpan w:val="2"/>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1.738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35</w:t>
            </w:r>
          </w:p>
        </w:tc>
        <w:tc>
          <w:tcPr>
            <w:tcW w:w="1850" w:type="dxa"/>
            <w:gridSpan w:val="2"/>
          </w:tcPr>
          <w:p>
            <w:pPr>
              <w:spacing w:line="360" w:lineRule="auto"/>
              <w:jc w:val="center"/>
              <w:rPr>
                <w:rFonts w:asciiTheme="minorEastAsia" w:hAnsiTheme="minorEastAsia"/>
                <w:sz w:val="18"/>
                <w:szCs w:val="18"/>
              </w:rPr>
            </w:pPr>
            <w:r>
              <w:rPr>
                <w:rFonts w:hint="eastAsia" w:asciiTheme="minorEastAsia" w:hAnsiTheme="minorEastAsia"/>
                <w:sz w:val="18"/>
                <w:szCs w:val="18"/>
              </w:rPr>
              <w:t>2.341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40</w:t>
            </w:r>
          </w:p>
        </w:tc>
        <w:tc>
          <w:tcPr>
            <w:tcW w:w="1850" w:type="dxa"/>
            <w:gridSpan w:val="2"/>
          </w:tcPr>
          <w:p>
            <w:pPr>
              <w:spacing w:line="360" w:lineRule="auto"/>
              <w:jc w:val="center"/>
              <w:rPr>
                <w:rFonts w:asciiTheme="minorEastAsia" w:hAnsiTheme="minorEastAsia"/>
                <w:sz w:val="18"/>
                <w:szCs w:val="18"/>
              </w:rPr>
            </w:pPr>
            <w:r>
              <w:rPr>
                <w:rFonts w:hint="eastAsia" w:asciiTheme="minorEastAsia" w:hAnsiTheme="minorEastAsia"/>
                <w:sz w:val="18"/>
                <w:szCs w:val="18"/>
              </w:rPr>
              <w:t>3.091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90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45</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50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40</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1.677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45</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1.514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90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30</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2.427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35</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2.318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9</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50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45</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1.618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90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40</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1.977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11</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35</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1.345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12</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30</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1.642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13</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50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90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35</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1.526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14</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30</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1.474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70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45</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7" w:type="dxa"/>
          <w:jc w:val="center"/>
        </w:trPr>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16</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25</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80</w:t>
            </w:r>
          </w:p>
        </w:tc>
        <w:tc>
          <w:tcPr>
            <w:tcW w:w="0" w:type="auto"/>
          </w:tcPr>
          <w:p>
            <w:pPr>
              <w:spacing w:line="360" w:lineRule="auto"/>
              <w:jc w:val="center"/>
              <w:rPr>
                <w:rFonts w:asciiTheme="minorEastAsia" w:hAnsiTheme="minorEastAsia"/>
                <w:sz w:val="18"/>
                <w:szCs w:val="18"/>
              </w:rPr>
            </w:pPr>
            <w:r>
              <w:rPr>
                <w:rFonts w:hint="eastAsia" w:asciiTheme="minorEastAsia" w:hAnsiTheme="minorEastAsia"/>
                <w:sz w:val="18"/>
                <w:szCs w:val="18"/>
              </w:rPr>
              <w:t>60</w:t>
            </w:r>
          </w:p>
        </w:tc>
        <w:tc>
          <w:tcPr>
            <w:tcW w:w="1219"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40</w:t>
            </w:r>
          </w:p>
        </w:tc>
        <w:tc>
          <w:tcPr>
            <w:tcW w:w="1793"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1.209</w:t>
            </w:r>
          </w:p>
        </w:tc>
      </w:tr>
    </w:tbl>
    <w:p>
      <w:pPr>
        <w:spacing w:line="360" w:lineRule="auto"/>
        <w:ind w:firstLine="420" w:firstLineChars="200"/>
        <w:jc w:val="left"/>
        <w:rPr>
          <w:rFonts w:asciiTheme="minorEastAsia" w:hAnsiTheme="minorEastAsia"/>
          <w:szCs w:val="21"/>
        </w:rPr>
      </w:pPr>
      <w:r>
        <w:rPr>
          <w:rFonts w:hint="eastAsia" w:asciiTheme="minorEastAsia" w:hAnsiTheme="minorEastAsia"/>
          <w:szCs w:val="21"/>
        </w:rPr>
        <w:t>由表 2 可知，在充填体强度需求响应面回归模型中，采场宽度、采场高度、采场长度及胶结充填体的内摩擦角对充填体强度需求的影响均极显著，其敏感度顺序为：采场宽度&gt;采场长度&gt;采场高度&gt;内摩擦角；各因素之间的交互作用显著，其中采场宽度与高度的交互作用极显著，采场宽度与长度、内摩擦角的交互作用显著，采场高度与长度的交互作用显著，采场高度与内摩擦角、采场长度与内摩擦的交互作用不显著</w:t>
      </w:r>
      <w:r>
        <w:rPr>
          <w:rFonts w:hint="eastAsia" w:asciiTheme="minorEastAsia" w:hAnsiTheme="minorEastAsia"/>
          <w:szCs w:val="21"/>
          <w:vertAlign w:val="superscript"/>
        </w:rPr>
        <w:t>[</w:t>
      </w:r>
      <w:r>
        <w:rPr>
          <w:rFonts w:hint="eastAsia" w:asciiTheme="minorEastAsia" w:hAnsiTheme="minorEastAsia"/>
          <w:szCs w:val="21"/>
          <w:vertAlign w:val="superscript"/>
          <w:lang w:val="en-US" w:eastAsia="zh-CN"/>
        </w:rPr>
        <w:t>3</w:t>
      </w:r>
      <w:r>
        <w:rPr>
          <w:rFonts w:hint="eastAsia" w:asciiTheme="minorEastAsia" w:hAnsiTheme="minorEastAsia"/>
          <w:szCs w:val="21"/>
          <w:vertAlign w:val="superscript"/>
        </w:rPr>
        <w:t>]</w:t>
      </w:r>
      <w:r>
        <w:rPr>
          <w:rFonts w:hint="eastAsia" w:asciiTheme="minorEastAsia" w:hAnsiTheme="minorEastAsia"/>
          <w:szCs w:val="21"/>
        </w:rPr>
        <w:t xml:space="preserve">。各因素交互作用如图2所示。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根据充填体抗压强度需求计算结果，采用Design-expert 软件拟合充填体强度需求影响因素与响应量的响应面函数为：</w:t>
      </w:r>
    </w:p>
    <w:p>
      <w:pPr>
        <w:spacing w:line="360" w:lineRule="auto"/>
        <w:ind w:firstLine="420" w:firstLineChars="200"/>
        <w:jc w:val="left"/>
        <w:rPr>
          <w:rFonts w:ascii="Cambria Math" w:hAnsi="Cambria Math"/>
          <w:szCs w:val="21"/>
          <w:vertAlign w:val="subscript"/>
        </w:rPr>
      </w:pPr>
      <w:r>
        <w:rPr>
          <w:rFonts w:ascii="Cambria Math" w:hAnsi="Cambria Math"/>
          <w:szCs w:val="21"/>
        </w:rPr>
        <w:t>Y</w:t>
      </w:r>
      <w:r>
        <w:rPr>
          <w:rFonts w:ascii="Cambria Math" w:hAnsi="Cambria Math"/>
          <w:szCs w:val="21"/>
          <w:vertAlign w:val="subscript"/>
        </w:rPr>
        <w:t>1</w:t>
      </w:r>
      <w:r>
        <w:rPr>
          <w:rFonts w:ascii="Cambria Math" w:hAnsi="Cambria Math"/>
          <w:szCs w:val="21"/>
        </w:rPr>
        <w:t>=0.27x</w:t>
      </w:r>
      <w:r>
        <w:rPr>
          <w:rFonts w:ascii="Cambria Math" w:hAnsi="Cambria Math"/>
          <w:szCs w:val="21"/>
          <w:vertAlign w:val="subscript"/>
        </w:rPr>
        <w:t>1</w:t>
      </w:r>
      <w:r>
        <w:rPr>
          <w:rFonts w:ascii="Cambria Math" w:hAnsi="Cambria Math"/>
          <w:szCs w:val="21"/>
          <w:vertAlign w:val="superscript"/>
        </w:rPr>
        <w:t>2</w:t>
      </w:r>
      <w:r>
        <w:rPr>
          <w:rFonts w:ascii="Cambria Math" w:hAnsi="Cambria Math"/>
          <w:szCs w:val="21"/>
        </w:rPr>
        <w:t>+0.014x</w:t>
      </w:r>
      <w:r>
        <w:rPr>
          <w:rFonts w:ascii="Cambria Math" w:hAnsi="Cambria Math"/>
          <w:szCs w:val="21"/>
          <w:vertAlign w:val="subscript"/>
        </w:rPr>
        <w:t>2</w:t>
      </w:r>
      <w:r>
        <w:rPr>
          <w:rFonts w:ascii="Cambria Math" w:hAnsi="Cambria Math"/>
          <w:szCs w:val="21"/>
          <w:vertAlign w:val="superscript"/>
        </w:rPr>
        <w:t>2</w:t>
      </w:r>
      <w:r>
        <w:rPr>
          <w:rFonts w:ascii="Cambria Math" w:hAnsi="Cambria Math"/>
          <w:szCs w:val="21"/>
        </w:rPr>
        <w:t>-0.029x</w:t>
      </w:r>
      <w:r>
        <w:rPr>
          <w:rFonts w:ascii="Cambria Math" w:hAnsi="Cambria Math"/>
          <w:szCs w:val="21"/>
          <w:vertAlign w:val="subscript"/>
        </w:rPr>
        <w:t>3</w:t>
      </w:r>
      <w:r>
        <w:rPr>
          <w:rFonts w:ascii="Cambria Math" w:hAnsi="Cambria Math"/>
          <w:szCs w:val="21"/>
          <w:vertAlign w:val="superscript"/>
        </w:rPr>
        <w:t>3</w:t>
      </w:r>
      <w:r>
        <w:rPr>
          <w:rFonts w:ascii="Cambria Math" w:hAnsi="Cambria Math"/>
          <w:szCs w:val="21"/>
        </w:rPr>
        <w:t>-0.014x</w:t>
      </w:r>
      <w:r>
        <w:rPr>
          <w:rFonts w:hint="eastAsia" w:ascii="Cambria Math" w:hAnsi="Cambria Math"/>
          <w:szCs w:val="21"/>
          <w:vertAlign w:val="subscript"/>
        </w:rPr>
        <w:t>4</w:t>
      </w:r>
      <w:r>
        <w:rPr>
          <w:rFonts w:ascii="Cambria Math" w:hAnsi="Cambria Math"/>
          <w:szCs w:val="21"/>
          <w:vertAlign w:val="superscript"/>
        </w:rPr>
        <w:t>2</w:t>
      </w:r>
      <w:r>
        <w:rPr>
          <w:rFonts w:ascii="Cambria Math" w:hAnsi="Cambria Math"/>
          <w:szCs w:val="21"/>
        </w:rPr>
        <w:t>-0.2x</w:t>
      </w:r>
      <w:r>
        <w:rPr>
          <w:rFonts w:ascii="Cambria Math" w:hAnsi="Cambria Math"/>
          <w:szCs w:val="21"/>
          <w:vertAlign w:val="subscript"/>
        </w:rPr>
        <w:t>1</w:t>
      </w:r>
      <w:r>
        <w:rPr>
          <w:rFonts w:ascii="Cambria Math" w:hAnsi="Cambria Math"/>
          <w:szCs w:val="21"/>
        </w:rPr>
        <w:t>x</w:t>
      </w:r>
      <w:r>
        <w:rPr>
          <w:rFonts w:ascii="Cambria Math" w:hAnsi="Cambria Math"/>
          <w:szCs w:val="21"/>
          <w:vertAlign w:val="subscript"/>
        </w:rPr>
        <w:t>2</w:t>
      </w:r>
    </w:p>
    <w:p>
      <w:pPr>
        <w:spacing w:line="360" w:lineRule="auto"/>
        <w:ind w:firstLine="663" w:firstLineChars="316"/>
        <w:jc w:val="left"/>
        <w:rPr>
          <w:rFonts w:ascii="Cambria Math" w:hAnsi="Cambria Math"/>
          <w:szCs w:val="21"/>
          <w:vertAlign w:val="subscript"/>
        </w:rPr>
      </w:pPr>
      <w:r>
        <w:rPr>
          <w:rFonts w:ascii="Cambria Math" w:hAnsi="Cambria Math"/>
          <w:szCs w:val="21"/>
        </w:rPr>
        <w:t>-0.065x</w:t>
      </w:r>
      <w:r>
        <w:rPr>
          <w:rFonts w:ascii="Cambria Math" w:hAnsi="Cambria Math"/>
          <w:szCs w:val="21"/>
          <w:vertAlign w:val="subscript"/>
        </w:rPr>
        <w:t>1</w:t>
      </w:r>
      <w:r>
        <w:rPr>
          <w:rFonts w:ascii="Cambria Math" w:hAnsi="Cambria Math"/>
          <w:szCs w:val="21"/>
        </w:rPr>
        <w:t>x</w:t>
      </w:r>
      <w:r>
        <w:rPr>
          <w:rFonts w:ascii="Cambria Math" w:hAnsi="Cambria Math"/>
          <w:szCs w:val="21"/>
          <w:vertAlign w:val="subscript"/>
        </w:rPr>
        <w:t>3</w:t>
      </w:r>
      <w:r>
        <w:rPr>
          <w:rFonts w:ascii="Cambria Math" w:hAnsi="Cambria Math"/>
          <w:szCs w:val="21"/>
        </w:rPr>
        <w:t>-0.088x</w:t>
      </w:r>
      <w:r>
        <w:rPr>
          <w:rFonts w:ascii="Cambria Math" w:hAnsi="Cambria Math"/>
          <w:szCs w:val="21"/>
          <w:vertAlign w:val="subscript"/>
        </w:rPr>
        <w:t>1</w:t>
      </w:r>
      <w:r>
        <w:rPr>
          <w:rFonts w:ascii="Cambria Math" w:hAnsi="Cambria Math"/>
          <w:szCs w:val="21"/>
        </w:rPr>
        <w:t>x</w:t>
      </w:r>
      <w:r>
        <w:rPr>
          <w:rFonts w:ascii="Cambria Math" w:hAnsi="Cambria Math"/>
          <w:szCs w:val="21"/>
          <w:vertAlign w:val="subscript"/>
        </w:rPr>
        <w:t>4</w:t>
      </w:r>
      <w:r>
        <w:rPr>
          <w:rFonts w:ascii="Cambria Math" w:hAnsi="Cambria Math"/>
          <w:szCs w:val="21"/>
        </w:rPr>
        <w:t>+0.065x</w:t>
      </w:r>
      <w:r>
        <w:rPr>
          <w:rFonts w:ascii="Cambria Math" w:hAnsi="Cambria Math"/>
          <w:szCs w:val="21"/>
          <w:vertAlign w:val="subscript"/>
        </w:rPr>
        <w:t>2</w:t>
      </w:r>
      <w:r>
        <w:rPr>
          <w:rFonts w:ascii="Cambria Math" w:hAnsi="Cambria Math"/>
          <w:szCs w:val="21"/>
        </w:rPr>
        <w:t>x</w:t>
      </w:r>
      <w:r>
        <w:rPr>
          <w:rFonts w:ascii="Cambria Math" w:hAnsi="Cambria Math"/>
          <w:szCs w:val="21"/>
          <w:vertAlign w:val="subscript"/>
        </w:rPr>
        <w:t>3</w:t>
      </w:r>
      <w:r>
        <w:rPr>
          <w:rFonts w:ascii="Cambria Math" w:hAnsi="Cambria Math"/>
          <w:szCs w:val="21"/>
        </w:rPr>
        <w:t>+0.048x</w:t>
      </w:r>
      <w:r>
        <w:rPr>
          <w:rFonts w:ascii="Cambria Math" w:hAnsi="Cambria Math"/>
          <w:szCs w:val="21"/>
          <w:vertAlign w:val="subscript"/>
        </w:rPr>
        <w:t>2</w:t>
      </w:r>
      <w:r>
        <w:rPr>
          <w:rFonts w:ascii="Cambria Math" w:hAnsi="Cambria Math"/>
          <w:szCs w:val="21"/>
        </w:rPr>
        <w:t>x</w:t>
      </w:r>
      <w:r>
        <w:rPr>
          <w:rFonts w:ascii="Cambria Math" w:hAnsi="Cambria Math"/>
          <w:szCs w:val="21"/>
          <w:vertAlign w:val="subscript"/>
        </w:rPr>
        <w:t>4</w:t>
      </w:r>
      <w:r>
        <w:rPr>
          <w:rFonts w:ascii="Cambria Math" w:hAnsi="Cambria Math"/>
          <w:szCs w:val="21"/>
        </w:rPr>
        <w:t>-0.016x</w:t>
      </w:r>
      <w:r>
        <w:rPr>
          <w:rFonts w:ascii="Cambria Math" w:hAnsi="Cambria Math"/>
          <w:szCs w:val="21"/>
          <w:vertAlign w:val="subscript"/>
        </w:rPr>
        <w:t>3</w:t>
      </w:r>
      <w:r>
        <w:rPr>
          <w:rFonts w:ascii="Cambria Math" w:hAnsi="Cambria Math"/>
          <w:szCs w:val="21"/>
        </w:rPr>
        <w:t>x</w:t>
      </w:r>
      <w:r>
        <w:rPr>
          <w:rFonts w:ascii="Cambria Math" w:hAnsi="Cambria Math"/>
          <w:szCs w:val="21"/>
          <w:vertAlign w:val="subscript"/>
        </w:rPr>
        <w:t>4</w:t>
      </w:r>
    </w:p>
    <w:p>
      <w:pPr>
        <w:spacing w:line="360" w:lineRule="auto"/>
        <w:ind w:firstLine="663" w:firstLineChars="316"/>
        <w:jc w:val="left"/>
        <w:rPr>
          <w:rFonts w:ascii="Cambria Math" w:hAnsi="Cambria Math"/>
          <w:szCs w:val="21"/>
        </w:rPr>
      </w:pPr>
      <w:r>
        <w:rPr>
          <w:rFonts w:ascii="Cambria Math" w:hAnsi="Cambria Math"/>
          <w:szCs w:val="21"/>
        </w:rPr>
        <w:t>-0.62x</w:t>
      </w:r>
      <w:r>
        <w:rPr>
          <w:rFonts w:ascii="Cambria Math" w:hAnsi="Cambria Math"/>
          <w:szCs w:val="21"/>
          <w:vertAlign w:val="subscript"/>
        </w:rPr>
        <w:t>1</w:t>
      </w:r>
      <w:r>
        <w:rPr>
          <w:rFonts w:ascii="Cambria Math" w:hAnsi="Cambria Math"/>
          <w:szCs w:val="21"/>
        </w:rPr>
        <w:t>+0.43x</w:t>
      </w:r>
      <w:r>
        <w:rPr>
          <w:rFonts w:ascii="Cambria Math" w:hAnsi="Cambria Math"/>
          <w:szCs w:val="21"/>
          <w:vertAlign w:val="subscript"/>
        </w:rPr>
        <w:t>2</w:t>
      </w:r>
      <w:r>
        <w:rPr>
          <w:rFonts w:ascii="Cambria Math" w:hAnsi="Cambria Math"/>
          <w:szCs w:val="21"/>
        </w:rPr>
        <w:t>+0.18x</w:t>
      </w:r>
      <w:r>
        <w:rPr>
          <w:rFonts w:ascii="Cambria Math" w:hAnsi="Cambria Math"/>
          <w:szCs w:val="21"/>
          <w:vertAlign w:val="subscript"/>
        </w:rPr>
        <w:t>3</w:t>
      </w:r>
      <w:r>
        <w:rPr>
          <w:rFonts w:ascii="Cambria Math" w:hAnsi="Cambria Math"/>
          <w:szCs w:val="21"/>
        </w:rPr>
        <w:t>+0.057x</w:t>
      </w:r>
      <w:r>
        <w:rPr>
          <w:rFonts w:ascii="Cambria Math" w:hAnsi="Cambria Math"/>
          <w:szCs w:val="21"/>
          <w:vertAlign w:val="subscript"/>
        </w:rPr>
        <w:t>4</w:t>
      </w:r>
      <w:r>
        <w:rPr>
          <w:rFonts w:ascii="Cambria Math" w:hAnsi="Cambria Math"/>
          <w:szCs w:val="21"/>
        </w:rPr>
        <w:t xml:space="preserve">+1.81 </w:t>
      </w:r>
      <w:r>
        <w:rPr>
          <w:rFonts w:hint="eastAsia" w:ascii="Cambria Math" w:hAnsi="Cambria Math"/>
          <w:szCs w:val="21"/>
        </w:rPr>
        <w:t xml:space="preserve">                                  </w:t>
      </w:r>
      <w:r>
        <w:rPr>
          <w:rFonts w:hint="eastAsia" w:asciiTheme="minorEastAsia" w:hAnsiTheme="minorEastAsia"/>
          <w:szCs w:val="21"/>
        </w:rPr>
        <w:t>（2）</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响应面函数拟合的相关系数平方R</w:t>
      </w:r>
      <w:r>
        <w:rPr>
          <w:rFonts w:hint="eastAsia" w:asciiTheme="minorEastAsia" w:hAnsiTheme="minorEastAsia"/>
          <w:szCs w:val="21"/>
          <w:vertAlign w:val="superscript"/>
        </w:rPr>
        <w:t>2</w:t>
      </w:r>
      <w:r>
        <w:rPr>
          <w:rFonts w:hint="eastAsia" w:asciiTheme="minorEastAsia" w:hAnsiTheme="minorEastAsia"/>
          <w:szCs w:val="21"/>
        </w:rPr>
        <w:t xml:space="preserve"> 为 0.9963。对响应面回归模型进行方差分析，见表 3。其中， p &gt;0.05 表示该因素影响不显著， p &lt;0.05 表示该因素影响比较显著， p &lt;0.0001 表示该因素影响极显著。</w:t>
      </w:r>
    </w:p>
    <w:p>
      <w:pPr>
        <w:spacing w:line="360" w:lineRule="auto"/>
        <w:jc w:val="center"/>
        <w:rPr>
          <w:rFonts w:ascii="宋体" w:hAnsi="宋体" w:eastAsia="宋体" w:cs="Times New Roman"/>
          <w:sz w:val="18"/>
          <w:szCs w:val="18"/>
        </w:rPr>
      </w:pPr>
      <w:r>
        <w:rPr>
          <w:rFonts w:hint="eastAsia" w:ascii="宋体" w:hAnsi="宋体" w:eastAsia="宋体" w:cs="Times New Roman"/>
          <w:sz w:val="18"/>
          <w:szCs w:val="18"/>
        </w:rPr>
        <w:t>表</w:t>
      </w:r>
      <w:r>
        <w:rPr>
          <w:rFonts w:ascii="Times New Roman" w:hAnsi="Times New Roman" w:eastAsia="黑体" w:cs="Times New Roman"/>
          <w:sz w:val="18"/>
          <w:szCs w:val="18"/>
        </w:rPr>
        <w:t>3</w:t>
      </w:r>
      <w:r>
        <w:rPr>
          <w:rFonts w:hint="eastAsia" w:ascii="黑体" w:hAnsi="宋体" w:eastAsia="黑体" w:cs="Times New Roman"/>
          <w:sz w:val="18"/>
          <w:szCs w:val="18"/>
        </w:rPr>
        <w:t xml:space="preserve"> </w:t>
      </w:r>
      <w:r>
        <w:rPr>
          <w:rFonts w:hint="eastAsia" w:ascii="黑体" w:hAnsi="宋体" w:eastAsia="黑体" w:cs="Times New Roman"/>
          <w:b/>
          <w:sz w:val="18"/>
          <w:szCs w:val="18"/>
        </w:rPr>
        <w:t xml:space="preserve"> </w:t>
      </w:r>
      <w:r>
        <w:rPr>
          <w:rFonts w:hint="eastAsia" w:ascii="宋体" w:hAnsi="宋体" w:eastAsia="宋体" w:cs="Times New Roman"/>
          <w:sz w:val="18"/>
          <w:szCs w:val="18"/>
        </w:rPr>
        <w:t>充填体强度需求回归模型方差分析</w:t>
      </w:r>
    </w:p>
    <w:p>
      <w:pPr>
        <w:spacing w:line="360" w:lineRule="auto"/>
        <w:jc w:val="center"/>
        <w:rPr>
          <w:rFonts w:ascii="Times New Roman" w:hAnsi="宋体" w:eastAsia="宋体" w:cs="Times New Roman"/>
          <w:sz w:val="18"/>
          <w:szCs w:val="18"/>
        </w:rPr>
      </w:pPr>
      <w:r>
        <w:rPr>
          <w:rFonts w:ascii="Times New Roman" w:hAnsi="宋体" w:eastAsia="宋体" w:cs="Times New Roman"/>
          <w:sz w:val="18"/>
          <w:szCs w:val="18"/>
        </w:rPr>
        <w:t>Table 3</w:t>
      </w:r>
      <w:r>
        <w:rPr>
          <w:rFonts w:hint="eastAsia" w:ascii="Times New Roman" w:hAnsi="宋体" w:eastAsia="宋体" w:cs="Times New Roman"/>
          <w:sz w:val="18"/>
          <w:szCs w:val="18"/>
        </w:rPr>
        <w:t xml:space="preserve"> </w:t>
      </w:r>
      <w:r>
        <w:rPr>
          <w:rFonts w:ascii="Times New Roman" w:hAnsi="宋体" w:eastAsia="宋体" w:cs="Times New Roman"/>
          <w:sz w:val="18"/>
          <w:szCs w:val="18"/>
        </w:rPr>
        <w:t>Analysis of variance in regression model of filling strength demand</w:t>
      </w:r>
    </w:p>
    <w:tbl>
      <w:tblPr>
        <w:tblStyle w:val="4"/>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9"/>
        <w:gridCol w:w="1341"/>
        <w:gridCol w:w="1420"/>
        <w:gridCol w:w="1420"/>
        <w:gridCol w:w="1421"/>
        <w:gridCol w:w="142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asciiTheme="minorEastAsia" w:hAnsiTheme="minorEastAsia"/>
                <w:sz w:val="18"/>
                <w:szCs w:val="18"/>
              </w:rPr>
              <w:t>变异来源</w:t>
            </w:r>
          </w:p>
        </w:tc>
        <w:tc>
          <w:tcPr>
            <w:tcW w:w="1341" w:type="dxa"/>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asciiTheme="minorEastAsia" w:hAnsiTheme="minorEastAsia"/>
                <w:sz w:val="18"/>
                <w:szCs w:val="18"/>
              </w:rPr>
              <w:t>平方和</w:t>
            </w:r>
            <w:r>
              <w:rPr>
                <w:rFonts w:hint="eastAsia" w:asciiTheme="minorEastAsia" w:hAnsiTheme="minorEastAsia"/>
                <w:sz w:val="18"/>
                <w:szCs w:val="18"/>
              </w:rPr>
              <w:t>SS</w:t>
            </w:r>
          </w:p>
        </w:tc>
        <w:tc>
          <w:tcPr>
            <w:tcW w:w="1420" w:type="dxa"/>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asciiTheme="minorEastAsia" w:hAnsiTheme="minorEastAsia"/>
                <w:sz w:val="18"/>
                <w:szCs w:val="18"/>
              </w:rPr>
              <w:t>自由度</w:t>
            </w:r>
            <w:r>
              <w:rPr>
                <w:rFonts w:hint="eastAsia" w:asciiTheme="minorEastAsia" w:hAnsiTheme="minorEastAsia"/>
                <w:sz w:val="18"/>
                <w:szCs w:val="18"/>
              </w:rPr>
              <w:t>DF</w:t>
            </w:r>
          </w:p>
        </w:tc>
        <w:tc>
          <w:tcPr>
            <w:tcW w:w="1420" w:type="dxa"/>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asciiTheme="minorEastAsia" w:hAnsiTheme="minorEastAsia"/>
                <w:sz w:val="18"/>
                <w:szCs w:val="18"/>
              </w:rPr>
              <w:t>均方</w:t>
            </w:r>
            <w:r>
              <w:rPr>
                <w:rFonts w:hint="eastAsia" w:asciiTheme="minorEastAsia" w:hAnsiTheme="minorEastAsia"/>
                <w:sz w:val="18"/>
                <w:szCs w:val="18"/>
              </w:rPr>
              <w:t>MS</w:t>
            </w:r>
          </w:p>
        </w:tc>
        <w:tc>
          <w:tcPr>
            <w:tcW w:w="1421" w:type="dxa"/>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F值</w:t>
            </w:r>
          </w:p>
        </w:tc>
        <w:tc>
          <w:tcPr>
            <w:tcW w:w="1421" w:type="dxa"/>
            <w:tcBorders>
              <w:top w:val="single" w:color="auto" w:sz="4" w:space="0"/>
              <w:bottom w:val="single" w:color="auto" w:sz="4" w:space="0"/>
            </w:tcBorders>
          </w:tcPr>
          <w:p>
            <w:pPr>
              <w:spacing w:line="360" w:lineRule="auto"/>
              <w:jc w:val="center"/>
              <w:rPr>
                <w:rFonts w:asciiTheme="minorEastAsia" w:hAnsiTheme="minorEastAsia"/>
                <w:sz w:val="18"/>
                <w:szCs w:val="18"/>
              </w:rPr>
            </w:pPr>
            <w:r>
              <w:rPr>
                <w:rFonts w:asciiTheme="minorEastAsia" w:hAnsiTheme="minorEastAsia"/>
                <w:sz w:val="18"/>
                <w:szCs w:val="18"/>
              </w:rPr>
              <w:t>p</w:t>
            </w:r>
            <w:r>
              <w:rPr>
                <w:rFonts w:hint="eastAsia" w:asciiTheme="minorEastAsia" w:hAnsiTheme="minorEastAsia"/>
                <w:sz w:val="18"/>
                <w:szCs w:val="18"/>
              </w:rPr>
              <w:t>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Borders>
              <w:top w:val="single" w:color="auto" w:sz="4" w:space="0"/>
            </w:tcBorders>
          </w:tcPr>
          <w:p>
            <w:pPr>
              <w:spacing w:line="360" w:lineRule="auto"/>
              <w:jc w:val="center"/>
              <w:rPr>
                <w:rFonts w:asciiTheme="minorEastAsia" w:hAnsiTheme="minorEastAsia"/>
                <w:sz w:val="18"/>
                <w:szCs w:val="18"/>
              </w:rPr>
            </w:pPr>
            <w:r>
              <w:rPr>
                <w:rFonts w:asciiTheme="minorEastAsia" w:hAnsiTheme="minorEastAsia"/>
                <w:sz w:val="18"/>
                <w:szCs w:val="18"/>
              </w:rPr>
              <w:t>模型</w:t>
            </w:r>
          </w:p>
        </w:tc>
        <w:tc>
          <w:tcPr>
            <w:tcW w:w="1341" w:type="dxa"/>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8.086614</w:t>
            </w:r>
          </w:p>
        </w:tc>
        <w:tc>
          <w:tcPr>
            <w:tcW w:w="1420" w:type="dxa"/>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14</w:t>
            </w:r>
          </w:p>
        </w:tc>
        <w:tc>
          <w:tcPr>
            <w:tcW w:w="1420" w:type="dxa"/>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0.577615</w:t>
            </w:r>
          </w:p>
        </w:tc>
        <w:tc>
          <w:tcPr>
            <w:tcW w:w="1421" w:type="dxa"/>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271.2051</w:t>
            </w:r>
          </w:p>
        </w:tc>
        <w:tc>
          <w:tcPr>
            <w:tcW w:w="1421" w:type="dxa"/>
            <w:tcBorders>
              <w:top w:val="single" w:color="auto" w:sz="4" w:space="0"/>
            </w:tcBorders>
          </w:tcPr>
          <w:p>
            <w:pPr>
              <w:spacing w:line="360" w:lineRule="auto"/>
              <w:jc w:val="center"/>
              <w:rPr>
                <w:rFonts w:asciiTheme="minorEastAsia" w:hAnsiTheme="minorEastAsia"/>
                <w:sz w:val="18"/>
                <w:szCs w:val="18"/>
              </w:rPr>
            </w:pPr>
            <w:r>
              <w:rPr>
                <w:rFonts w:hint="eastAsia" w:asciiTheme="minorEastAsia" w:hAnsiTheme="minorEastAsia"/>
                <w:sz w:val="18"/>
                <w:szCs w:val="18"/>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hint="eastAsia" w:asciiTheme="minorEastAsia" w:hAnsiTheme="minorEastAsia"/>
                <w:sz w:val="18"/>
                <w:szCs w:val="18"/>
                <w:vertAlign w:val="subscript"/>
              </w:rPr>
              <w:t>1</w:t>
            </w:r>
            <w:r>
              <w:rPr>
                <w:rFonts w:hint="eastAsia" w:asciiTheme="minorEastAsia" w:hAnsiTheme="minorEastAsia"/>
                <w:sz w:val="18"/>
                <w:szCs w:val="18"/>
              </w:rPr>
              <w:t>-采场宽度</w:t>
            </w:r>
            <w:r>
              <w:rPr>
                <w:rFonts w:hint="eastAsia" w:asciiTheme="minorEastAsia" w:hAnsiTheme="minorEastAsia"/>
                <w:sz w:val="18"/>
                <w:szCs w:val="18"/>
                <w:lang w:val="en-US" w:eastAsia="zh-CN"/>
              </w:rPr>
              <w:t>/m</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4.665027</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4.665027</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2190.349</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hint="eastAsia" w:asciiTheme="minorEastAsia" w:hAnsiTheme="minorEastAsia"/>
                <w:sz w:val="18"/>
                <w:szCs w:val="18"/>
                <w:vertAlign w:val="subscript"/>
              </w:rPr>
              <w:t>2</w:t>
            </w:r>
            <w:r>
              <w:rPr>
                <w:rFonts w:hint="eastAsia" w:asciiTheme="minorEastAsia" w:hAnsiTheme="minorEastAsia"/>
                <w:sz w:val="18"/>
                <w:szCs w:val="18"/>
              </w:rPr>
              <w:t>-采场高度</w:t>
            </w:r>
            <w:r>
              <w:rPr>
                <w:rFonts w:hint="eastAsia" w:asciiTheme="minorEastAsia" w:hAnsiTheme="minorEastAsia"/>
                <w:sz w:val="18"/>
                <w:szCs w:val="18"/>
                <w:lang w:val="en-US" w:eastAsia="zh-CN"/>
              </w:rPr>
              <w:t>/m</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2.230856</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2.230856</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1047.444</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hint="eastAsia" w:asciiTheme="minorEastAsia" w:hAnsiTheme="minorEastAsia"/>
                <w:sz w:val="18"/>
                <w:szCs w:val="18"/>
                <w:vertAlign w:val="subscript"/>
              </w:rPr>
              <w:t>3</w:t>
            </w:r>
            <w:r>
              <w:rPr>
                <w:rFonts w:hint="eastAsia" w:asciiTheme="minorEastAsia" w:hAnsiTheme="minorEastAsia"/>
                <w:sz w:val="18"/>
                <w:szCs w:val="18"/>
              </w:rPr>
              <w:t>-采场长度</w:t>
            </w:r>
            <w:r>
              <w:rPr>
                <w:rFonts w:hint="eastAsia" w:asciiTheme="minorEastAsia" w:hAnsiTheme="minorEastAsia"/>
                <w:sz w:val="18"/>
                <w:szCs w:val="18"/>
                <w:lang w:val="en-US" w:eastAsia="zh-CN"/>
              </w:rPr>
              <w:t>/m</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0.383776</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0.383776</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180.1928</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hint="eastAsia" w:asciiTheme="minorEastAsia" w:hAnsiTheme="minorEastAsia"/>
                <w:sz w:val="18"/>
                <w:szCs w:val="18"/>
                <w:vertAlign w:val="subscript"/>
              </w:rPr>
              <w:t>4</w:t>
            </w:r>
            <w:r>
              <w:rPr>
                <w:rFonts w:hint="eastAsia" w:asciiTheme="minorEastAsia" w:hAnsiTheme="minorEastAsia"/>
                <w:sz w:val="18"/>
                <w:szCs w:val="18"/>
              </w:rPr>
              <w:t>-内摩擦角</w:t>
            </w:r>
            <w:r>
              <w:rPr>
                <w:rFonts w:hint="eastAsia" w:asciiTheme="minorEastAsia" w:hAnsiTheme="minorEastAsia"/>
                <w:sz w:val="18"/>
                <w:szCs w:val="18"/>
                <w:lang w:val="en-US" w:eastAsia="zh-CN"/>
              </w:rPr>
              <w:t>/°</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0.39445</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0.039445</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18.52059</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hint="eastAsia" w:asciiTheme="minorEastAsia" w:hAnsiTheme="minorEastAsia"/>
                <w:sz w:val="18"/>
                <w:szCs w:val="18"/>
                <w:vertAlign w:val="subscript"/>
              </w:rPr>
              <w:t>1</w:t>
            </w:r>
            <w:r>
              <w:rPr>
                <w:rFonts w:asciiTheme="minorEastAsia" w:hAnsiTheme="minorEastAsia"/>
                <w:sz w:val="18"/>
                <w:szCs w:val="18"/>
              </w:rPr>
              <w:t>x</w:t>
            </w:r>
            <w:r>
              <w:rPr>
                <w:rFonts w:hint="eastAsia" w:asciiTheme="minorEastAsia" w:hAnsiTheme="minorEastAsia"/>
                <w:sz w:val="18"/>
                <w:szCs w:val="18"/>
                <w:vertAlign w:val="subscript"/>
              </w:rPr>
              <w:t>2</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0.154056</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0.154056</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72.33335</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hint="eastAsia" w:asciiTheme="minorEastAsia" w:hAnsiTheme="minorEastAsia"/>
                <w:sz w:val="18"/>
                <w:szCs w:val="18"/>
                <w:vertAlign w:val="subscript"/>
              </w:rPr>
              <w:t>1</w:t>
            </w:r>
            <w:r>
              <w:rPr>
                <w:rFonts w:asciiTheme="minorEastAsia" w:hAnsiTheme="minorEastAsia"/>
                <w:sz w:val="18"/>
                <w:szCs w:val="18"/>
              </w:rPr>
              <w:t>x</w:t>
            </w:r>
            <w:r>
              <w:rPr>
                <w:rFonts w:hint="eastAsia" w:asciiTheme="minorEastAsia" w:hAnsiTheme="minorEastAsia"/>
                <w:sz w:val="18"/>
                <w:szCs w:val="18"/>
                <w:vertAlign w:val="subscript"/>
              </w:rPr>
              <w:t>3</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0.01703</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0.01703</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7.996138</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asciiTheme="minorEastAsia" w:hAnsiTheme="minorEastAsia"/>
                <w:sz w:val="18"/>
                <w:szCs w:val="18"/>
                <w:vertAlign w:val="subscript"/>
              </w:rPr>
              <w:t>1</w:t>
            </w:r>
            <w:r>
              <w:rPr>
                <w:rFonts w:asciiTheme="minorEastAsia" w:hAnsiTheme="minorEastAsia"/>
                <w:sz w:val="18"/>
                <w:szCs w:val="18"/>
              </w:rPr>
              <w:t>x</w:t>
            </w:r>
            <w:r>
              <w:rPr>
                <w:rFonts w:asciiTheme="minorEastAsia" w:hAnsiTheme="minorEastAsia"/>
                <w:sz w:val="18"/>
                <w:szCs w:val="18"/>
                <w:vertAlign w:val="subscript"/>
              </w:rPr>
              <w:t>4</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0.031329</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0.031329</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14.70977</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asciiTheme="minorEastAsia" w:hAnsiTheme="minorEastAsia"/>
                <w:sz w:val="18"/>
                <w:szCs w:val="18"/>
                <w:vertAlign w:val="subscript"/>
              </w:rPr>
              <w:t>2</w:t>
            </w:r>
            <w:r>
              <w:rPr>
                <w:rFonts w:asciiTheme="minorEastAsia" w:hAnsiTheme="minorEastAsia"/>
                <w:sz w:val="18"/>
                <w:szCs w:val="18"/>
              </w:rPr>
              <w:t>x</w:t>
            </w:r>
            <w:r>
              <w:rPr>
                <w:rFonts w:asciiTheme="minorEastAsia" w:hAnsiTheme="minorEastAsia"/>
                <w:sz w:val="18"/>
                <w:szCs w:val="18"/>
                <w:vertAlign w:val="subscript"/>
              </w:rPr>
              <w:t>3</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0.0169</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0.0169</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7.934982</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asciiTheme="minorEastAsia" w:hAnsiTheme="minorEastAsia"/>
                <w:sz w:val="18"/>
                <w:szCs w:val="18"/>
                <w:vertAlign w:val="subscript"/>
              </w:rPr>
              <w:t>2</w:t>
            </w:r>
            <w:r>
              <w:rPr>
                <w:rFonts w:asciiTheme="minorEastAsia" w:hAnsiTheme="minorEastAsia"/>
                <w:sz w:val="18"/>
                <w:szCs w:val="18"/>
              </w:rPr>
              <w:t>x</w:t>
            </w:r>
            <w:r>
              <w:rPr>
                <w:rFonts w:asciiTheme="minorEastAsia" w:hAnsiTheme="minorEastAsia"/>
                <w:sz w:val="18"/>
                <w:szCs w:val="18"/>
                <w:vertAlign w:val="subscript"/>
              </w:rPr>
              <w:t>4</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0.00912</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0.00912</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4.28219</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0.0575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asciiTheme="minorEastAsia" w:hAnsiTheme="minorEastAsia"/>
                <w:sz w:val="18"/>
                <w:szCs w:val="18"/>
                <w:vertAlign w:val="subscript"/>
              </w:rPr>
              <w:t>3</w:t>
            </w:r>
            <w:r>
              <w:rPr>
                <w:rFonts w:asciiTheme="minorEastAsia" w:hAnsiTheme="minorEastAsia"/>
                <w:sz w:val="18"/>
                <w:szCs w:val="18"/>
              </w:rPr>
              <w:t>x</w:t>
            </w:r>
            <w:r>
              <w:rPr>
                <w:rFonts w:asciiTheme="minorEastAsia" w:hAnsiTheme="minorEastAsia"/>
                <w:sz w:val="18"/>
                <w:szCs w:val="18"/>
                <w:vertAlign w:val="subscript"/>
              </w:rPr>
              <w:t>4</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0.001056</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0.001056</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0.495936</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0.4928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vertAlign w:val="superscript"/>
              </w:rPr>
            </w:pPr>
            <w:r>
              <w:rPr>
                <w:rFonts w:asciiTheme="minorEastAsia" w:hAnsiTheme="minorEastAsia"/>
                <w:sz w:val="18"/>
                <w:szCs w:val="18"/>
              </w:rPr>
              <w:t>x</w:t>
            </w:r>
            <w:r>
              <w:rPr>
                <w:rFonts w:asciiTheme="minorEastAsia" w:hAnsiTheme="minorEastAsia"/>
                <w:sz w:val="18"/>
                <w:szCs w:val="18"/>
                <w:vertAlign w:val="subscript"/>
              </w:rPr>
              <w:t>1</w:t>
            </w:r>
            <w:r>
              <w:rPr>
                <w:rFonts w:asciiTheme="minorEastAsia" w:hAnsiTheme="minorEastAsia"/>
                <w:sz w:val="18"/>
                <w:szCs w:val="18"/>
                <w:vertAlign w:val="superscript"/>
              </w:rPr>
              <w:t>2</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0.473449</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0.473499</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222.2963</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asciiTheme="minorEastAsia" w:hAnsiTheme="minorEastAsia"/>
                <w:sz w:val="18"/>
                <w:szCs w:val="18"/>
                <w:vertAlign w:val="subscript"/>
              </w:rPr>
              <w:t>2</w:t>
            </w:r>
            <w:r>
              <w:rPr>
                <w:rFonts w:asciiTheme="minorEastAsia" w:hAnsiTheme="minorEastAsia"/>
                <w:sz w:val="18"/>
                <w:szCs w:val="18"/>
                <w:vertAlign w:val="superscript"/>
              </w:rPr>
              <w:t>2</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0.001256</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0.001256</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0.589847</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0.4552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asciiTheme="minorEastAsia" w:hAnsiTheme="minorEastAsia"/>
                <w:sz w:val="18"/>
                <w:szCs w:val="18"/>
                <w:vertAlign w:val="subscript"/>
              </w:rPr>
              <w:t>3</w:t>
            </w:r>
            <w:r>
              <w:rPr>
                <w:rFonts w:asciiTheme="minorEastAsia" w:hAnsiTheme="minorEastAsia"/>
                <w:sz w:val="18"/>
                <w:szCs w:val="18"/>
                <w:vertAlign w:val="superscript"/>
              </w:rPr>
              <w:t>2</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0.005581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0.005581</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2.620545</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0.1278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x</w:t>
            </w:r>
            <w:r>
              <w:rPr>
                <w:rFonts w:asciiTheme="minorEastAsia" w:hAnsiTheme="minorEastAsia"/>
                <w:sz w:val="18"/>
                <w:szCs w:val="18"/>
                <w:vertAlign w:val="subscript"/>
              </w:rPr>
              <w:t>4</w:t>
            </w:r>
            <w:r>
              <w:rPr>
                <w:rFonts w:asciiTheme="minorEastAsia" w:hAnsiTheme="minorEastAsia"/>
                <w:sz w:val="18"/>
                <w:szCs w:val="18"/>
                <w:vertAlign w:val="superscript"/>
              </w:rPr>
              <w:t>2</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0.01287</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0.001287</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0.604059</w:t>
            </w:r>
          </w:p>
        </w:tc>
        <w:tc>
          <w:tcPr>
            <w:tcW w:w="142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0.4500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残差</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0.029817</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14</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0.00213</w:t>
            </w:r>
          </w:p>
        </w:tc>
        <w:tc>
          <w:tcPr>
            <w:tcW w:w="1421" w:type="dxa"/>
          </w:tcPr>
          <w:p>
            <w:pPr>
              <w:spacing w:line="360" w:lineRule="auto"/>
              <w:jc w:val="left"/>
              <w:rPr>
                <w:rFonts w:asciiTheme="minorEastAsia" w:hAnsiTheme="minorEastAsia"/>
                <w:sz w:val="18"/>
                <w:szCs w:val="18"/>
              </w:rPr>
            </w:pPr>
          </w:p>
        </w:tc>
        <w:tc>
          <w:tcPr>
            <w:tcW w:w="1421" w:type="dxa"/>
          </w:tcPr>
          <w:p>
            <w:pPr>
              <w:spacing w:line="360" w:lineRule="auto"/>
              <w:jc w:val="left"/>
              <w:rPr>
                <w:rFonts w:asciiTheme="minorEastAsia" w:hAnsiTheme="minorEastAsia"/>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9" w:type="dxa"/>
          </w:tcPr>
          <w:p>
            <w:pPr>
              <w:spacing w:line="360" w:lineRule="auto"/>
              <w:jc w:val="center"/>
              <w:rPr>
                <w:rFonts w:asciiTheme="minorEastAsia" w:hAnsiTheme="minorEastAsia"/>
                <w:sz w:val="18"/>
                <w:szCs w:val="18"/>
              </w:rPr>
            </w:pPr>
            <w:r>
              <w:rPr>
                <w:rFonts w:asciiTheme="minorEastAsia" w:hAnsiTheme="minorEastAsia"/>
                <w:sz w:val="18"/>
                <w:szCs w:val="18"/>
              </w:rPr>
              <w:t>净误差</w:t>
            </w:r>
          </w:p>
        </w:tc>
        <w:tc>
          <w:tcPr>
            <w:tcW w:w="1341"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1420" w:type="dxa"/>
          </w:tcPr>
          <w:p>
            <w:pPr>
              <w:spacing w:line="360" w:lineRule="auto"/>
              <w:jc w:val="center"/>
              <w:rPr>
                <w:rFonts w:asciiTheme="minorEastAsia" w:hAnsiTheme="minorEastAsia"/>
                <w:sz w:val="18"/>
                <w:szCs w:val="18"/>
              </w:rPr>
            </w:pPr>
            <w:r>
              <w:rPr>
                <w:rFonts w:hint="eastAsia" w:asciiTheme="minorEastAsia" w:hAnsiTheme="minorEastAsia"/>
                <w:sz w:val="18"/>
                <w:szCs w:val="18"/>
              </w:rPr>
              <w:t>0</w:t>
            </w:r>
          </w:p>
        </w:tc>
        <w:tc>
          <w:tcPr>
            <w:tcW w:w="1421" w:type="dxa"/>
          </w:tcPr>
          <w:p>
            <w:pPr>
              <w:spacing w:line="360" w:lineRule="auto"/>
              <w:jc w:val="left"/>
              <w:rPr>
                <w:rFonts w:asciiTheme="minorEastAsia" w:hAnsiTheme="minorEastAsia"/>
                <w:sz w:val="18"/>
                <w:szCs w:val="18"/>
              </w:rPr>
            </w:pPr>
          </w:p>
        </w:tc>
        <w:tc>
          <w:tcPr>
            <w:tcW w:w="1421" w:type="dxa"/>
          </w:tcPr>
          <w:p>
            <w:pPr>
              <w:spacing w:line="360" w:lineRule="auto"/>
              <w:jc w:val="left"/>
              <w:rPr>
                <w:rFonts w:asciiTheme="minorEastAsia" w:hAnsiTheme="minorEastAsia"/>
                <w:sz w:val="18"/>
                <w:szCs w:val="18"/>
              </w:rPr>
            </w:pPr>
          </w:p>
        </w:tc>
      </w:tr>
    </w:tbl>
    <w:p>
      <w:pPr>
        <w:spacing w:line="360" w:lineRule="auto"/>
        <w:ind w:firstLine="420" w:firstLineChars="200"/>
        <w:jc w:val="left"/>
        <w:rPr>
          <w:rFonts w:asciiTheme="minorEastAsia" w:hAnsiTheme="minorEastAsia"/>
          <w:szCs w:val="21"/>
        </w:rPr>
      </w:pPr>
      <w:r>
        <w:rPr>
          <w:rFonts w:hint="eastAsia" w:asciiTheme="minorEastAsia" w:hAnsiTheme="minorEastAsia"/>
          <w:szCs w:val="21"/>
        </w:rPr>
        <w:t>对比图2（a）和（b）可知，采场宽度与高度交互作用的显著性是高于采场宽度与长度的交互作用的。由图2（b）可知，随着采场长度的增加，充填体强度需求逐渐变大，长度对强度需求的影响与宽度有关，随着宽度的逐渐减小，高度对充填体强度需求影响敏感性越来越强</w:t>
      </w:r>
      <w:r>
        <w:rPr>
          <w:rFonts w:hint="eastAsia" w:asciiTheme="minorEastAsia" w:hAnsiTheme="minorEastAsia"/>
          <w:szCs w:val="21"/>
          <w:vertAlign w:val="superscript"/>
        </w:rPr>
        <w:t>[</w:t>
      </w:r>
      <w:r>
        <w:rPr>
          <w:rFonts w:hint="eastAsia" w:asciiTheme="minorEastAsia" w:hAnsiTheme="minorEastAsia"/>
          <w:szCs w:val="21"/>
          <w:vertAlign w:val="superscript"/>
          <w:lang w:val="en-US" w:eastAsia="zh-CN"/>
        </w:rPr>
        <w:t>4</w:t>
      </w:r>
      <w:r>
        <w:rPr>
          <w:rFonts w:hint="eastAsia" w:asciiTheme="minorEastAsia" w:hAnsiTheme="minorEastAsia"/>
          <w:szCs w:val="21"/>
          <w:vertAlign w:val="superscript"/>
        </w:rPr>
        <w:t>]</w:t>
      </w:r>
      <w:r>
        <w:rPr>
          <w:rFonts w:hint="eastAsia" w:asciiTheme="minorEastAsia" w:hAnsiTheme="minorEastAsia"/>
          <w:szCs w:val="21"/>
        </w:rPr>
        <w:t xml:space="preserve">。因此，综合分析可知充填体宽度宜选择 15~25m范围内，长度选择低于65m。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对比图2（b）和（c）可知，采场宽度与内摩擦角交互作用的显著性低于采场宽度与长度的。由图2（c）可知，内摩擦角对强度需求的影响与宽度有关，随着宽度的逐渐减小，内摩擦角对充填体强度需求影响敏感性越来越强。因此，综合分析可知充填体宽度宜选择 15~25m 范围内，内摩擦角影响不敏感。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由图2（d）可知采场长度与采场高度的交互作用不显著，两者综合影响较弱。 </w:t>
      </w:r>
    </w:p>
    <w:p>
      <w:pPr>
        <w:spacing w:line="360" w:lineRule="auto"/>
        <w:ind w:firstLine="420" w:firstLineChars="200"/>
        <w:jc w:val="center"/>
        <w:rPr>
          <w:rFonts w:asciiTheme="minorEastAsia" w:hAnsiTheme="minorEastAsia"/>
          <w:szCs w:val="21"/>
        </w:rPr>
      </w:pPr>
      <w:r>
        <w:drawing>
          <wp:inline distT="0" distB="0" distL="0" distR="0">
            <wp:extent cx="3902710" cy="2552065"/>
            <wp:effectExtent l="0" t="0" r="2540" b="635"/>
            <wp:docPr id="2" name="图片 2" descr="高度-宽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高度-宽度-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03345" cy="2552323"/>
                    </a:xfrm>
                    <a:prstGeom prst="rect">
                      <a:avLst/>
                    </a:prstGeom>
                    <a:noFill/>
                    <a:ln>
                      <a:noFill/>
                    </a:ln>
                  </pic:spPr>
                </pic:pic>
              </a:graphicData>
            </a:graphic>
          </wp:inline>
        </w:drawing>
      </w:r>
    </w:p>
    <w:p>
      <w:pPr>
        <w:spacing w:line="360" w:lineRule="auto"/>
        <w:jc w:val="center"/>
        <w:rPr>
          <w:rFonts w:eastAsia="楷体_GB2312"/>
          <w:color w:val="000000"/>
        </w:rPr>
      </w:pPr>
      <w:r>
        <w:rPr>
          <w:rFonts w:hint="eastAsia" w:ascii="Times New Roman" w:hAnsi="Times New Roman" w:eastAsia="宋体" w:cs="宋体"/>
          <w:sz w:val="18"/>
          <w:szCs w:val="18"/>
        </w:rPr>
        <w:t>（a）采场宽度与采场高度</w:t>
      </w:r>
    </w:p>
    <w:p>
      <w:pPr>
        <w:spacing w:line="360" w:lineRule="auto"/>
        <w:jc w:val="center"/>
        <w:rPr>
          <w:rFonts w:eastAsia="楷体_GB2312"/>
          <w:color w:val="000000"/>
        </w:rPr>
      </w:pPr>
      <w:r>
        <w:drawing>
          <wp:inline distT="0" distB="0" distL="0" distR="0">
            <wp:extent cx="3637280" cy="2552065"/>
            <wp:effectExtent l="0" t="0" r="1270" b="635"/>
            <wp:docPr id="3" name="图片 3" descr="宽度与长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宽度与长度-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37280" cy="2552065"/>
                    </a:xfrm>
                    <a:prstGeom prst="rect">
                      <a:avLst/>
                    </a:prstGeom>
                    <a:noFill/>
                    <a:ln>
                      <a:noFill/>
                    </a:ln>
                  </pic:spPr>
                </pic:pic>
              </a:graphicData>
            </a:graphic>
          </wp:inline>
        </w:drawing>
      </w:r>
    </w:p>
    <w:p>
      <w:pPr>
        <w:spacing w:line="360" w:lineRule="auto"/>
        <w:jc w:val="center"/>
        <w:rPr>
          <w:rFonts w:eastAsia="楷体_GB2312"/>
          <w:color w:val="000000"/>
        </w:rPr>
      </w:pPr>
      <w:r>
        <w:rPr>
          <w:rFonts w:hint="eastAsia" w:ascii="Times New Roman" w:hAnsi="Times New Roman" w:eastAsia="宋体" w:cs="宋体"/>
          <w:sz w:val="18"/>
          <w:szCs w:val="18"/>
        </w:rPr>
        <w:t>（b）采场宽度与采场长度</w:t>
      </w:r>
    </w:p>
    <w:p>
      <w:pPr>
        <w:spacing w:line="360" w:lineRule="auto"/>
        <w:jc w:val="center"/>
      </w:pPr>
      <w:r>
        <w:drawing>
          <wp:inline distT="0" distB="0" distL="0" distR="0">
            <wp:extent cx="3869055" cy="2804795"/>
            <wp:effectExtent l="0" t="0" r="0" b="0"/>
            <wp:docPr id="8" name="图片 8" descr="宽度与内摩擦角-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宽度与内摩擦角-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869055" cy="2804795"/>
                    </a:xfrm>
                    <a:prstGeom prst="rect">
                      <a:avLst/>
                    </a:prstGeom>
                    <a:noFill/>
                    <a:ln>
                      <a:noFill/>
                    </a:ln>
                  </pic:spPr>
                </pic:pic>
              </a:graphicData>
            </a:graphic>
          </wp:inline>
        </w:drawing>
      </w:r>
    </w:p>
    <w:p>
      <w:pPr>
        <w:spacing w:line="360" w:lineRule="auto"/>
        <w:jc w:val="center"/>
        <w:rPr>
          <w:rFonts w:eastAsia="楷体_GB2312"/>
          <w:color w:val="000000"/>
        </w:rPr>
      </w:pPr>
      <w:r>
        <w:rPr>
          <w:rFonts w:hint="eastAsia" w:ascii="Times New Roman" w:hAnsi="Times New Roman" w:eastAsia="宋体" w:cs="宋体"/>
          <w:sz w:val="18"/>
          <w:szCs w:val="18"/>
        </w:rPr>
        <w:t>（c）采场宽度与内摩擦角</w:t>
      </w:r>
    </w:p>
    <w:p>
      <w:pPr>
        <w:spacing w:line="360" w:lineRule="auto"/>
        <w:jc w:val="center"/>
      </w:pPr>
      <w:r>
        <w:drawing>
          <wp:inline distT="0" distB="0" distL="0" distR="0">
            <wp:extent cx="3978275" cy="2811145"/>
            <wp:effectExtent l="0" t="0" r="3175" b="8255"/>
            <wp:docPr id="4" name="图片 4" descr="高与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高与长-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978275" cy="2811145"/>
                    </a:xfrm>
                    <a:prstGeom prst="rect">
                      <a:avLst/>
                    </a:prstGeom>
                    <a:noFill/>
                    <a:ln>
                      <a:noFill/>
                    </a:ln>
                  </pic:spPr>
                </pic:pic>
              </a:graphicData>
            </a:graphic>
          </wp:inline>
        </w:drawing>
      </w:r>
    </w:p>
    <w:p>
      <w:pPr>
        <w:spacing w:line="360" w:lineRule="auto"/>
        <w:jc w:val="center"/>
        <w:rPr>
          <w:rFonts w:eastAsia="楷体_GB2312"/>
          <w:color w:val="000000"/>
        </w:rPr>
      </w:pPr>
      <w:r>
        <w:rPr>
          <w:rFonts w:hint="eastAsia" w:ascii="Times New Roman" w:hAnsi="Times New Roman" w:eastAsia="宋体" w:cs="宋体"/>
          <w:sz w:val="18"/>
          <w:szCs w:val="18"/>
        </w:rPr>
        <w:t>（d）采场长度与采场高度</w:t>
      </w:r>
    </w:p>
    <w:p>
      <w:pPr>
        <w:pStyle w:val="11"/>
        <w:spacing w:beforeLines="0" w:afterLines="0" w:line="360" w:lineRule="auto"/>
        <w:ind w:firstLine="0" w:firstLineChars="0"/>
        <w:jc w:val="center"/>
        <w:rPr>
          <w:rFonts w:ascii="黑体" w:eastAsia="黑体"/>
          <w:b/>
          <w:sz w:val="18"/>
          <w:szCs w:val="18"/>
        </w:rPr>
      </w:pPr>
      <w:r>
        <w:rPr>
          <w:rFonts w:hint="eastAsia" w:ascii="宋体" w:hAnsi="宋体"/>
          <w:sz w:val="18"/>
          <w:szCs w:val="18"/>
        </w:rPr>
        <w:t>图</w:t>
      </w:r>
      <w:r>
        <w:rPr>
          <w:rFonts w:eastAsia="黑体" w:cs="Times New Roman"/>
          <w:sz w:val="18"/>
          <w:szCs w:val="18"/>
        </w:rPr>
        <w:t>2</w:t>
      </w:r>
      <w:r>
        <w:rPr>
          <w:rFonts w:hint="eastAsia" w:ascii="宋体" w:hAnsi="宋体"/>
          <w:sz w:val="18"/>
          <w:szCs w:val="18"/>
        </w:rPr>
        <w:t xml:space="preserve"> 充填体强度需求影响因素交互作用</w:t>
      </w:r>
    </w:p>
    <w:p>
      <w:pPr>
        <w:pStyle w:val="11"/>
        <w:spacing w:beforeLines="0" w:afterLines="0" w:line="360" w:lineRule="auto"/>
        <w:ind w:firstLine="0" w:firstLineChars="0"/>
        <w:jc w:val="center"/>
        <w:rPr>
          <w:rFonts w:cs="Times New Roman"/>
          <w:sz w:val="21"/>
          <w:szCs w:val="21"/>
        </w:rPr>
      </w:pPr>
      <w:r>
        <w:rPr>
          <w:rFonts w:cs="Times New Roman"/>
          <w:sz w:val="21"/>
          <w:szCs w:val="21"/>
        </w:rPr>
        <w:t>Fig. 2 interaction of factors influencing strength demand of filling body</w:t>
      </w:r>
    </w:p>
    <w:p>
      <w:pPr>
        <w:spacing w:line="360" w:lineRule="auto"/>
        <w:rPr>
          <w:rFonts w:ascii="黑体" w:hAnsi="Times New Roman" w:eastAsia="黑体" w:cs="Times New Roman"/>
          <w:b/>
          <w:sz w:val="24"/>
          <w:szCs w:val="24"/>
        </w:rPr>
      </w:pPr>
      <w:r>
        <w:rPr>
          <w:rFonts w:hint="eastAsia" w:ascii="Times New Roman" w:hAnsi="Times New Roman" w:eastAsia="黑体" w:cs="Times New Roman"/>
          <w:b/>
          <w:szCs w:val="21"/>
        </w:rPr>
        <w:t xml:space="preserve">3 </w:t>
      </w:r>
      <w:r>
        <w:rPr>
          <w:rFonts w:hint="eastAsia" w:ascii="黑体" w:hAnsi="Times New Roman" w:eastAsia="黑体" w:cs="Times New Roman"/>
          <w:b/>
          <w:sz w:val="24"/>
          <w:szCs w:val="24"/>
        </w:rPr>
        <w:t xml:space="preserve"> </w:t>
      </w:r>
      <w:r>
        <w:rPr>
          <w:rFonts w:hint="eastAsia" w:ascii="宋体" w:hAnsi="宋体" w:eastAsia="宋体" w:cs="Times New Roman"/>
          <w:b/>
          <w:sz w:val="24"/>
          <w:szCs w:val="24"/>
        </w:rPr>
        <w:t>结论</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（1）采场宽度与其他因素的交互作用均较为显著，其中采场宽度与高度的交互作用极显著，因此，在生产实际中应严格控制采场边界，保证充填体的宽度大于15m。</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2）充填体的强度需求与采场结构、矿体深度及充填体暴露面积相关。胶结充填体宽度越小，底部侧压应力沿宽度方向的关系曲线越陡，变化率越大；暴露高度越高，内部最大剪切应力越大。因此，在采矿设计中，增大胶结充填体宽度、降低充填体暴露高度有利于嗣后采场充填体的稳定性</w:t>
      </w:r>
      <w:bookmarkStart w:id="0" w:name="_GoBack"/>
      <w:r>
        <w:rPr>
          <w:rFonts w:hint="eastAsia" w:asciiTheme="minorEastAsia" w:hAnsiTheme="minorEastAsia"/>
          <w:szCs w:val="21"/>
          <w:vertAlign w:val="superscript"/>
        </w:rPr>
        <w:t>[</w:t>
      </w:r>
      <w:r>
        <w:rPr>
          <w:rFonts w:hint="eastAsia" w:asciiTheme="minorEastAsia" w:hAnsiTheme="minorEastAsia"/>
          <w:szCs w:val="21"/>
          <w:vertAlign w:val="superscript"/>
          <w:lang w:val="en-US" w:eastAsia="zh-CN"/>
        </w:rPr>
        <w:t>5</w:t>
      </w:r>
      <w:r>
        <w:rPr>
          <w:rFonts w:hint="eastAsia" w:asciiTheme="minorEastAsia" w:hAnsiTheme="minorEastAsia"/>
          <w:szCs w:val="21"/>
          <w:vertAlign w:val="superscript"/>
        </w:rPr>
        <w:t>]</w:t>
      </w:r>
      <w:bookmarkEnd w:id="0"/>
      <w:r>
        <w:rPr>
          <w:rFonts w:hint="eastAsia" w:asciiTheme="minorEastAsia" w:hAnsiTheme="minorEastAsia"/>
          <w:szCs w:val="21"/>
        </w:rPr>
        <w:t xml:space="preserve">。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 xml:space="preserve">（3）充填体暴露高度越高，充填体内垂直应力越大；且充填体强度越低，随采场高度的增加充填体内垂直应力增长率变大，表明强度越低，充填体高度对其垂直应力的影响越敏感。 </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充填体强度需求影响因素敏感度顺序为：采场宽度&gt;采场长度&gt;采场高度&gt;内摩擦角；各因素之间的交互作用显著，其中采场宽度与高度的交互作用极显著，采场宽度与长度、内摩擦角的交互作用显著，采场高度与长度的交互作用显著，采场高度与内摩擦角、采场长度与内摩擦的交互作用不显著。因此，在生产实际中应严格控制采场边界，保证充填体的宽度大于15m，有利于充填体的稳定性。</w:t>
      </w:r>
    </w:p>
    <w:p>
      <w:pPr>
        <w:jc w:val="left"/>
        <w:rPr>
          <w:rFonts w:ascii="宋体" w:hAnsi="宋体" w:eastAsia="宋体"/>
          <w:szCs w:val="21"/>
        </w:rPr>
      </w:pPr>
      <w:r>
        <w:rPr>
          <w:rFonts w:hint="eastAsia" w:ascii="宋体" w:hAnsi="宋体" w:eastAsia="宋体"/>
          <w:szCs w:val="21"/>
        </w:rPr>
        <w:t>参考文献</w:t>
      </w:r>
    </w:p>
    <w:p>
      <w:pPr>
        <w:numPr>
          <w:numId w:val="0"/>
        </w:numPr>
        <w:ind w:left="105" w:leftChars="0"/>
        <w:jc w:val="left"/>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1</w:t>
      </w:r>
      <w:r>
        <w:rPr>
          <w:rFonts w:hint="eastAsia" w:asciiTheme="minorEastAsia" w:hAnsiTheme="minorEastAsia"/>
          <w:szCs w:val="21"/>
        </w:rPr>
        <w:t xml:space="preserve">]房智恒.阶段空场嗣后充填胶结充填体力学强度模型研究[J].中国钼业,2019,43(6):22-29. </w:t>
      </w:r>
    </w:p>
    <w:p>
      <w:pPr>
        <w:numPr>
          <w:numId w:val="0"/>
        </w:numPr>
        <w:ind w:left="105" w:leftChars="0"/>
        <w:jc w:val="left"/>
        <w:rPr>
          <w:rFonts w:hint="eastAsia" w:asciiTheme="minorEastAsia" w:hAnsiTheme="minorEastAsia"/>
          <w:szCs w:val="21"/>
        </w:rPr>
      </w:pPr>
      <w:r>
        <w:rPr>
          <w:rFonts w:hint="eastAsia" w:asciiTheme="minorEastAsia" w:hAnsiTheme="minorEastAsia"/>
          <w:szCs w:val="21"/>
          <w:lang w:val="en-US" w:eastAsia="zh-CN"/>
        </w:rPr>
        <w:t>FANG Zhiheng,Mechanical strength model of cemented backfill pillar for stage empty field subsequent filling mining method</w:t>
      </w:r>
      <w:r>
        <w:rPr>
          <w:rFonts w:hint="eastAsia" w:asciiTheme="minorEastAsia" w:hAnsiTheme="minorEastAsia"/>
          <w:szCs w:val="21"/>
        </w:rPr>
        <w:t>[J].</w:t>
      </w:r>
      <w:r>
        <w:rPr>
          <w:rFonts w:hint="eastAsia" w:asciiTheme="minorEastAsia" w:hAnsiTheme="minorEastAsia"/>
          <w:szCs w:val="21"/>
          <w:lang w:val="en-US" w:eastAsia="zh-CN"/>
        </w:rPr>
        <w:t>China molybdenum industry,</w:t>
      </w:r>
      <w:r>
        <w:rPr>
          <w:rFonts w:hint="eastAsia" w:asciiTheme="minorEastAsia" w:hAnsiTheme="minorEastAsia"/>
          <w:szCs w:val="21"/>
        </w:rPr>
        <w:t>2019,43(6):22-29.</w:t>
      </w:r>
    </w:p>
    <w:p>
      <w:pPr>
        <w:jc w:val="left"/>
        <w:rPr>
          <w:rFonts w:hint="eastAsia" w:asciiTheme="minorEastAsia" w:hAnsiTheme="minorEastAsia"/>
          <w:szCs w:val="21"/>
        </w:rPr>
      </w:pPr>
      <w:r>
        <w:rPr>
          <w:rFonts w:hint="eastAsia" w:asciiTheme="minorEastAsia" w:hAnsiTheme="minorEastAsia"/>
          <w:szCs w:val="21"/>
        </w:rPr>
        <w:t>[2]由希,任凤玉,何荣兴, 等.阶段空场嗣后充填胶结充填体抗压强度研究[J].采矿与安全工程学报,2017,34(1):163-169.</w:t>
      </w:r>
    </w:p>
    <w:p>
      <w:pPr>
        <w:jc w:val="left"/>
        <w:rPr>
          <w:rFonts w:hint="default" w:asciiTheme="minorEastAsia" w:hAnsiTheme="minorEastAsia" w:eastAsiaTheme="minorEastAsia"/>
          <w:szCs w:val="21"/>
          <w:lang w:val="en-US" w:eastAsia="zh-CN"/>
        </w:rPr>
      </w:pPr>
      <w:r>
        <w:rPr>
          <w:rFonts w:hint="eastAsia" w:asciiTheme="minorEastAsia" w:hAnsiTheme="minorEastAsia"/>
          <w:szCs w:val="21"/>
        </w:rPr>
        <w:t>YOU Xi，REN Fengyu，HE Rongxing，</w:t>
      </w:r>
      <w:r>
        <w:rPr>
          <w:rFonts w:hint="eastAsia" w:asciiTheme="minorEastAsia" w:hAnsiTheme="minorEastAsia"/>
          <w:szCs w:val="21"/>
          <w:lang w:val="en-US" w:eastAsia="zh-CN"/>
        </w:rPr>
        <w:t xml:space="preserve">etc..Research on compressive strength of cemented filling body in subsequent filling at the stage of open stope </w:t>
      </w:r>
      <w:r>
        <w:rPr>
          <w:rFonts w:hint="eastAsia" w:asciiTheme="minorEastAsia" w:hAnsiTheme="minorEastAsia"/>
          <w:szCs w:val="21"/>
        </w:rPr>
        <w:t>[J].</w:t>
      </w:r>
      <w:r>
        <w:rPr>
          <w:rFonts w:hint="eastAsia" w:asciiTheme="minorEastAsia" w:hAnsiTheme="minorEastAsia"/>
          <w:szCs w:val="21"/>
          <w:lang w:val="en-US" w:eastAsia="zh-CN"/>
        </w:rPr>
        <w:t xml:space="preserve">Journal of Mining &amp; Safety Engineering,2017,34(1):163-169. </w:t>
      </w:r>
    </w:p>
    <w:p>
      <w:pPr>
        <w:numPr>
          <w:numId w:val="0"/>
        </w:numPr>
        <w:jc w:val="left"/>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3</w:t>
      </w:r>
      <w:r>
        <w:rPr>
          <w:rFonts w:hint="eastAsia" w:asciiTheme="minorEastAsia" w:hAnsiTheme="minorEastAsia"/>
          <w:szCs w:val="21"/>
        </w:rPr>
        <w:t>]刘光生,杨小聪,郭利杰.阶段空场嗣后充填体三维拱应力及强度需求模型[J].煤炭学报,2019,44(5):1391-1403.</w:t>
      </w:r>
    </w:p>
    <w:p>
      <w:pPr>
        <w:numPr>
          <w:numId w:val="0"/>
        </w:numPr>
        <w:jc w:val="left"/>
        <w:rPr>
          <w:rFonts w:hint="eastAsia" w:asciiTheme="minorEastAsia" w:hAnsiTheme="minorEastAsia"/>
          <w:szCs w:val="21"/>
        </w:rPr>
      </w:pPr>
      <w:r>
        <w:rPr>
          <w:rFonts w:hint="eastAsia" w:asciiTheme="minorEastAsia" w:hAnsiTheme="minorEastAsia"/>
          <w:szCs w:val="21"/>
        </w:rPr>
        <w:t>LIU Guangsheng，YANG Xiaocong，GUO Lijie．Models of three</w:t>
      </w:r>
      <w:r>
        <w:rPr>
          <w:rFonts w:hint="eastAsia" w:asciiTheme="minorEastAsia" w:hAnsiTheme="minorEastAsia"/>
          <w:szCs w:val="21"/>
          <w:lang w:val="en-US" w:eastAsia="zh-CN"/>
        </w:rPr>
        <w:t>-</w:t>
      </w:r>
      <w:r>
        <w:rPr>
          <w:rFonts w:hint="eastAsia" w:asciiTheme="minorEastAsia" w:hAnsiTheme="minorEastAsia"/>
          <w:szCs w:val="21"/>
        </w:rPr>
        <w:t>dimensional arching stress and strength requirement for the backfill in open stoping with subsequent backfill mining[J]．Journal of China Coal Society，2019，44(5)：1391— 1403．</w:t>
      </w:r>
    </w:p>
    <w:p>
      <w:pPr>
        <w:numPr>
          <w:numId w:val="0"/>
        </w:numPr>
        <w:jc w:val="left"/>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4</w:t>
      </w:r>
      <w:r>
        <w:rPr>
          <w:rFonts w:hint="eastAsia" w:asciiTheme="minorEastAsia" w:hAnsiTheme="minorEastAsia"/>
          <w:szCs w:val="21"/>
        </w:rPr>
        <w:t>]王俊,乔登攀,韩润生,等.阶段空场嗣后充填胶结体强度模型及应用[J].岩土力学,2019,40(3):1105-1112.</w:t>
      </w:r>
    </w:p>
    <w:p>
      <w:pPr>
        <w:numPr>
          <w:numId w:val="0"/>
        </w:numPr>
        <w:jc w:val="left"/>
        <w:rPr>
          <w:rFonts w:hint="eastAsia" w:asciiTheme="minorEastAsia" w:hAnsiTheme="minorEastAsia" w:eastAsiaTheme="minorEastAsia"/>
          <w:szCs w:val="21"/>
          <w:lang w:val="en-US" w:eastAsia="zh-CN"/>
        </w:rPr>
      </w:pPr>
      <w:r>
        <w:rPr>
          <w:rFonts w:hint="eastAsia" w:asciiTheme="minorEastAsia" w:hAnsiTheme="minorEastAsia"/>
          <w:szCs w:val="21"/>
        </w:rPr>
        <w:t>WANG Jun，QIAO Dengpan，HAN Runshen</w:t>
      </w:r>
      <w:r>
        <w:rPr>
          <w:rFonts w:hint="eastAsia" w:asciiTheme="minorEastAsia" w:hAnsiTheme="minorEastAsia"/>
          <w:szCs w:val="21"/>
          <w:lang w:val="en-US" w:eastAsia="zh-CN"/>
        </w:rPr>
        <w:t>g</w:t>
      </w:r>
      <w:r>
        <w:rPr>
          <w:rFonts w:hint="eastAsia" w:asciiTheme="minorEastAsia" w:hAnsiTheme="minorEastAsia"/>
          <w:szCs w:val="21"/>
        </w:rPr>
        <w:t>，</w:t>
      </w:r>
      <w:r>
        <w:rPr>
          <w:rFonts w:hint="eastAsia" w:asciiTheme="minorEastAsia" w:hAnsiTheme="minorEastAsia"/>
          <w:szCs w:val="21"/>
          <w:lang w:val="en-US" w:eastAsia="zh-CN"/>
        </w:rPr>
        <w:t>etc..Strength model of cemented backfill in subsequent filling at the stage of open stage and its application</w:t>
      </w:r>
      <w:r>
        <w:rPr>
          <w:rFonts w:hint="eastAsia" w:asciiTheme="minorEastAsia" w:hAnsiTheme="minorEastAsia"/>
          <w:szCs w:val="21"/>
        </w:rPr>
        <w:t>[J].</w:t>
      </w:r>
      <w:r>
        <w:rPr>
          <w:rFonts w:hint="eastAsia" w:asciiTheme="minorEastAsia" w:hAnsiTheme="minorEastAsia"/>
          <w:szCs w:val="21"/>
          <w:lang w:val="en-US" w:eastAsia="zh-CN"/>
        </w:rPr>
        <w:t>R</w:t>
      </w:r>
      <w:r>
        <w:rPr>
          <w:rFonts w:hint="eastAsia" w:asciiTheme="minorEastAsia" w:hAnsiTheme="minorEastAsia"/>
          <w:szCs w:val="21"/>
        </w:rPr>
        <w:t>ock and Soil Mechanics</w:t>
      </w:r>
      <w:r>
        <w:rPr>
          <w:rFonts w:hint="eastAsia" w:asciiTheme="minorEastAsia" w:hAnsiTheme="minorEastAsia"/>
          <w:szCs w:val="21"/>
          <w:lang w:val="en-US" w:eastAsia="zh-CN"/>
        </w:rPr>
        <w:t>,</w:t>
      </w:r>
      <w:r>
        <w:rPr>
          <w:rFonts w:hint="eastAsia" w:asciiTheme="minorEastAsia" w:hAnsiTheme="minorEastAsia"/>
          <w:szCs w:val="21"/>
        </w:rPr>
        <w:t>2019,40(3):1105-1112.</w:t>
      </w:r>
    </w:p>
    <w:p>
      <w:pPr>
        <w:numPr>
          <w:numId w:val="0"/>
        </w:numPr>
        <w:ind w:leftChars="0"/>
        <w:jc w:val="left"/>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5</w:t>
      </w:r>
      <w:r>
        <w:rPr>
          <w:rFonts w:hint="eastAsia" w:asciiTheme="minorEastAsia" w:hAnsiTheme="minorEastAsia"/>
          <w:szCs w:val="21"/>
        </w:rPr>
        <w:t xml:space="preserve">]吴迪，邓腾飞，孙光华.阶段空场嗣后充填采场稳定性分析：模型及实验研究[J].矿业科学学报,2018,3(3):260-267. </w:t>
      </w:r>
    </w:p>
    <w:p>
      <w:pPr>
        <w:jc w:val="left"/>
        <w:rPr>
          <w:rFonts w:asciiTheme="minorEastAsia" w:hAnsiTheme="minorEastAsia"/>
          <w:szCs w:val="21"/>
        </w:rPr>
      </w:pPr>
      <w:r>
        <w:rPr>
          <w:rFonts w:hint="eastAsia" w:asciiTheme="minorEastAsia" w:hAnsiTheme="minorEastAsia"/>
          <w:szCs w:val="21"/>
        </w:rPr>
        <w:t>W</w:t>
      </w:r>
      <w:r>
        <w:rPr>
          <w:rFonts w:hint="eastAsia" w:asciiTheme="minorEastAsia" w:hAnsiTheme="minorEastAsia"/>
          <w:szCs w:val="21"/>
          <w:lang w:val="en-US" w:eastAsia="zh-CN"/>
        </w:rPr>
        <w:t>U</w:t>
      </w:r>
      <w:r>
        <w:rPr>
          <w:rFonts w:hint="eastAsia" w:asciiTheme="minorEastAsia" w:hAnsiTheme="minorEastAsia"/>
          <w:szCs w:val="21"/>
        </w:rPr>
        <w:t>Di, D</w:t>
      </w:r>
      <w:r>
        <w:rPr>
          <w:rFonts w:hint="eastAsia" w:asciiTheme="minorEastAsia" w:hAnsiTheme="minorEastAsia"/>
          <w:szCs w:val="21"/>
          <w:lang w:val="en-US" w:eastAsia="zh-CN"/>
        </w:rPr>
        <w:t>ENG</w:t>
      </w:r>
      <w:r>
        <w:rPr>
          <w:rFonts w:hint="eastAsia" w:asciiTheme="minorEastAsia" w:hAnsiTheme="minorEastAsia"/>
          <w:szCs w:val="21"/>
        </w:rPr>
        <w:t xml:space="preserve"> Tengfei, S</w:t>
      </w:r>
      <w:r>
        <w:rPr>
          <w:rFonts w:hint="eastAsia" w:asciiTheme="minorEastAsia" w:hAnsiTheme="minorEastAsia"/>
          <w:szCs w:val="21"/>
          <w:lang w:val="en-US" w:eastAsia="zh-CN"/>
        </w:rPr>
        <w:t>UN</w:t>
      </w:r>
      <w:r>
        <w:rPr>
          <w:rFonts w:hint="eastAsia" w:asciiTheme="minorEastAsia" w:hAnsiTheme="minorEastAsia"/>
          <w:szCs w:val="21"/>
        </w:rPr>
        <w:t xml:space="preserve"> Guanghua</w:t>
      </w:r>
      <w:r>
        <w:rPr>
          <w:rFonts w:hint="eastAsia" w:asciiTheme="minorEastAsia" w:hAnsiTheme="minorEastAsia"/>
          <w:szCs w:val="21"/>
          <w:lang w:val="en-US" w:eastAsia="zh-CN"/>
        </w:rPr>
        <w:t>.</w:t>
      </w:r>
      <w:r>
        <w:rPr>
          <w:rFonts w:hint="eastAsia" w:asciiTheme="minorEastAsia" w:hAnsiTheme="minorEastAsia"/>
          <w:szCs w:val="21"/>
        </w:rPr>
        <w:t xml:space="preserve"> Stability analysis of stage open</w:t>
      </w:r>
      <w:r>
        <w:rPr>
          <w:rFonts w:hint="eastAsia" w:asciiTheme="minorEastAsia" w:hAnsiTheme="minorEastAsia"/>
          <w:szCs w:val="21"/>
          <w:lang w:val="en-US" w:eastAsia="zh-CN"/>
        </w:rPr>
        <w:t xml:space="preserve"> </w:t>
      </w:r>
      <w:r>
        <w:rPr>
          <w:rFonts w:hint="eastAsia" w:asciiTheme="minorEastAsia" w:hAnsiTheme="minorEastAsia"/>
          <w:szCs w:val="21"/>
        </w:rPr>
        <w:t>stope with delayed backfill: modelling and experimental studies[J]. Jou</w:t>
      </w:r>
      <w:r>
        <w:rPr>
          <w:rFonts w:hint="eastAsia" w:asciiTheme="minorEastAsia" w:hAnsiTheme="minorEastAsia"/>
          <w:szCs w:val="21"/>
          <w:lang w:val="en-US" w:eastAsia="zh-CN"/>
        </w:rPr>
        <w:t>rnal</w:t>
      </w:r>
      <w:r>
        <w:rPr>
          <w:rFonts w:hint="eastAsia" w:asciiTheme="minorEastAsia" w:hAnsiTheme="minorEastAsia"/>
          <w:szCs w:val="21"/>
        </w:rPr>
        <w:t xml:space="preserve"> Mining Science and Technology,2018,3(3):260-267.</w:t>
      </w:r>
    </w:p>
    <w:p>
      <w:pPr>
        <w:spacing w:line="360" w:lineRule="auto"/>
        <w:jc w:val="left"/>
        <w:rPr>
          <w:rFonts w:hint="eastAsia" w:ascii="Times New Roman" w:hAnsi="Times New Roman"/>
          <w:b/>
          <w:bCs/>
          <w:szCs w:val="21"/>
        </w:rPr>
      </w:pPr>
    </w:p>
    <w:p>
      <w:pPr>
        <w:spacing w:line="360" w:lineRule="auto"/>
        <w:jc w:val="left"/>
        <w:rPr>
          <w:rFonts w:asciiTheme="minorEastAsia" w:hAnsiTheme="minorEastAsia"/>
          <w:szCs w:val="21"/>
        </w:rPr>
      </w:pPr>
      <w:r>
        <w:rPr>
          <w:rFonts w:ascii="Times New Roman" w:hAnsi="Times New Roman"/>
          <w:b/>
          <w:bCs/>
          <w:szCs w:val="21"/>
        </w:rPr>
        <w:t>作者简介：</w:t>
      </w:r>
      <w:r>
        <w:rPr>
          <w:rFonts w:hint="eastAsia" w:ascii="Times New Roman" w:hAnsi="Times New Roman"/>
          <w:bCs/>
          <w:szCs w:val="21"/>
        </w:rPr>
        <w:t>魏福海</w:t>
      </w:r>
      <w:r>
        <w:rPr>
          <w:rFonts w:ascii="Times New Roman" w:hAnsi="Times New Roman"/>
          <w:bCs/>
          <w:szCs w:val="21"/>
        </w:rPr>
        <w:t>(198</w:t>
      </w:r>
      <w:r>
        <w:rPr>
          <w:rFonts w:hint="eastAsia" w:ascii="Times New Roman" w:hAnsi="Times New Roman"/>
          <w:bCs/>
          <w:szCs w:val="21"/>
        </w:rPr>
        <w:t>8</w:t>
      </w:r>
      <w:r>
        <w:rPr>
          <w:rFonts w:ascii="Times New Roman" w:hAnsi="Times New Roman"/>
          <w:bCs/>
          <w:szCs w:val="21"/>
        </w:rPr>
        <w:t>-)，男，</w:t>
      </w:r>
      <w:r>
        <w:rPr>
          <w:rFonts w:hint="eastAsia" w:ascii="Times New Roman" w:hAnsi="Times New Roman"/>
          <w:bCs/>
          <w:szCs w:val="21"/>
        </w:rPr>
        <w:t>学士</w:t>
      </w:r>
      <w:r>
        <w:rPr>
          <w:rFonts w:ascii="Times New Roman" w:hAnsi="Times New Roman"/>
          <w:bCs/>
          <w:szCs w:val="21"/>
        </w:rPr>
        <w:t>，</w:t>
      </w:r>
      <w:r>
        <w:rPr>
          <w:rFonts w:hint="eastAsia" w:ascii="Times New Roman" w:hAnsi="Times New Roman"/>
          <w:bCs/>
          <w:szCs w:val="21"/>
        </w:rPr>
        <w:t>工程师</w:t>
      </w:r>
      <w:r>
        <w:rPr>
          <w:rFonts w:ascii="Times New Roman" w:hAnsi="Times New Roman"/>
          <w:bCs/>
          <w:szCs w:val="21"/>
        </w:rPr>
        <w:t>，</w:t>
      </w:r>
      <w:r>
        <w:rPr>
          <w:rFonts w:ascii="Times New Roman" w:hAnsi="宋体"/>
          <w:kern w:val="0"/>
          <w:szCs w:val="21"/>
        </w:rPr>
        <w:t>采矿工程专业，主要研究方向为</w:t>
      </w:r>
      <w:r>
        <w:rPr>
          <w:rFonts w:hint="eastAsia" w:ascii="Times New Roman"/>
          <w:bCs/>
          <w:szCs w:val="21"/>
        </w:rPr>
        <w:t>金属</w:t>
      </w:r>
      <w:r>
        <w:rPr>
          <w:rFonts w:ascii="Times New Roman"/>
          <w:bCs/>
          <w:szCs w:val="21"/>
        </w:rPr>
        <w:t>矿山地下开采与矿山管理。</w:t>
      </w:r>
    </w:p>
    <w:p>
      <w:pPr>
        <w:spacing w:line="360" w:lineRule="auto"/>
        <w:ind w:firstLine="560"/>
        <w:jc w:val="left"/>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02"/>
    <w:rsid w:val="000527DE"/>
    <w:rsid w:val="00094525"/>
    <w:rsid w:val="000D1CD0"/>
    <w:rsid w:val="00134F31"/>
    <w:rsid w:val="00171E6E"/>
    <w:rsid w:val="001A7E03"/>
    <w:rsid w:val="001F7B7C"/>
    <w:rsid w:val="0020111E"/>
    <w:rsid w:val="003151F2"/>
    <w:rsid w:val="00331636"/>
    <w:rsid w:val="00333051"/>
    <w:rsid w:val="003A368A"/>
    <w:rsid w:val="004436B6"/>
    <w:rsid w:val="004D0032"/>
    <w:rsid w:val="00503703"/>
    <w:rsid w:val="005F2A22"/>
    <w:rsid w:val="005F4C60"/>
    <w:rsid w:val="006A1759"/>
    <w:rsid w:val="006C722A"/>
    <w:rsid w:val="006E719A"/>
    <w:rsid w:val="007D31A1"/>
    <w:rsid w:val="00803A70"/>
    <w:rsid w:val="0081083C"/>
    <w:rsid w:val="008C64A2"/>
    <w:rsid w:val="00923940"/>
    <w:rsid w:val="009245BF"/>
    <w:rsid w:val="009B0049"/>
    <w:rsid w:val="009D48C8"/>
    <w:rsid w:val="00A31376"/>
    <w:rsid w:val="00A33B5E"/>
    <w:rsid w:val="00A549A3"/>
    <w:rsid w:val="00AE7C4B"/>
    <w:rsid w:val="00B43F4B"/>
    <w:rsid w:val="00B70093"/>
    <w:rsid w:val="00BA6F72"/>
    <w:rsid w:val="00BD0DF3"/>
    <w:rsid w:val="00BF6199"/>
    <w:rsid w:val="00CA1F02"/>
    <w:rsid w:val="00CA20B8"/>
    <w:rsid w:val="00D17A2D"/>
    <w:rsid w:val="00E04CBB"/>
    <w:rsid w:val="00E83A57"/>
    <w:rsid w:val="00EC0F8E"/>
    <w:rsid w:val="00F57F58"/>
    <w:rsid w:val="00FF594F"/>
    <w:rsid w:val="1638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Emphasis"/>
    <w:basedOn w:val="5"/>
    <w:qFormat/>
    <w:uiPriority w:val="20"/>
    <w:rPr>
      <w:i/>
    </w:rPr>
  </w:style>
  <w:style w:type="paragraph" w:styleId="7">
    <w:name w:val="List Paragraph"/>
    <w:basedOn w:val="1"/>
    <w:qFormat/>
    <w:uiPriority w:val="34"/>
    <w:pPr>
      <w:ind w:firstLine="420" w:firstLineChars="200"/>
    </w:pPr>
  </w:style>
  <w:style w:type="character" w:customStyle="1" w:styleId="8">
    <w:name w:val="批注框文本 Char"/>
    <w:basedOn w:val="5"/>
    <w:link w:val="2"/>
    <w:semiHidden/>
    <w:qFormat/>
    <w:uiPriority w:val="99"/>
    <w:rPr>
      <w:sz w:val="18"/>
      <w:szCs w:val="18"/>
    </w:rPr>
  </w:style>
  <w:style w:type="paragraph" w:customStyle="1" w:styleId="9">
    <w:name w:val="Char"/>
    <w:basedOn w:val="1"/>
    <w:uiPriority w:val="0"/>
    <w:rPr>
      <w:rFonts w:ascii="仿宋_GB2312" w:hAnsi="Times New Roman" w:eastAsia="仿宋_GB2312" w:cs="Times New Roman"/>
      <w:b/>
      <w:sz w:val="32"/>
      <w:szCs w:val="32"/>
    </w:rPr>
  </w:style>
  <w:style w:type="character" w:styleId="10">
    <w:name w:val="Placeholder Text"/>
    <w:basedOn w:val="5"/>
    <w:semiHidden/>
    <w:uiPriority w:val="99"/>
    <w:rPr>
      <w:color w:val="808080"/>
    </w:rPr>
  </w:style>
  <w:style w:type="paragraph" w:customStyle="1" w:styleId="11">
    <w:name w:val="u正文"/>
    <w:basedOn w:val="1"/>
    <w:link w:val="12"/>
    <w:qFormat/>
    <w:uiPriority w:val="0"/>
    <w:pPr>
      <w:spacing w:before="10" w:beforeLines="10" w:after="10" w:afterLines="10" w:line="312" w:lineRule="auto"/>
      <w:ind w:firstLine="200" w:firstLineChars="200"/>
    </w:pPr>
    <w:rPr>
      <w:rFonts w:ascii="Times New Roman" w:hAnsi="Times New Roman" w:eastAsia="宋体" w:cs="宋体"/>
      <w:sz w:val="24"/>
      <w:szCs w:val="20"/>
    </w:rPr>
  </w:style>
  <w:style w:type="character" w:customStyle="1" w:styleId="12">
    <w:name w:val="u正文 Char"/>
    <w:basedOn w:val="5"/>
    <w:link w:val="11"/>
    <w:uiPriority w:val="0"/>
    <w:rPr>
      <w:rFonts w:ascii="Times New Roman" w:hAnsi="Times New Roman" w:eastAsia="宋体"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1073</Words>
  <Characters>6119</Characters>
  <Lines>50</Lines>
  <Paragraphs>14</Paragraphs>
  <TotalTime>1</TotalTime>
  <ScaleCrop>false</ScaleCrop>
  <LinksUpToDate>false</LinksUpToDate>
  <CharactersWithSpaces>7178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2020-03-30T15:02:00Z</dcterms:created>
  <dc:creator>Lenovo</dc:creator>
  <cp:lastModifiedBy>诗酒趁华年</cp:lastModifiedBy>
  <dcterms:modified xsi:type="dcterms:W3CDTF">2020-06-15T09:45:52Z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